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FD438" w14:textId="77777777" w:rsidR="00633742" w:rsidRDefault="00480346" w:rsidP="00633742">
      <w:pPr>
        <w:spacing w:after="120"/>
        <w:jc w:val="center"/>
        <w:rPr>
          <w:rFonts w:ascii="Calibri" w:hAnsi="Calibri" w:cs="Calibri"/>
          <w:b/>
          <w:bCs/>
          <w:iCs/>
          <w:color w:val="632423" w:themeColor="accent2" w:themeShade="80"/>
          <w:sz w:val="44"/>
          <w:szCs w:val="44"/>
          <w:lang w:val="en-US"/>
        </w:rPr>
      </w:pPr>
      <w:r>
        <w:rPr>
          <w:noProof/>
        </w:rPr>
        <w:drawing>
          <wp:inline distT="0" distB="0" distL="0" distR="0" wp14:anchorId="0F7FD595" wp14:editId="4E23730D">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6E8ECC98" w14:textId="66E6E36E" w:rsidR="009544C7" w:rsidRDefault="00480346" w:rsidP="00633742">
      <w:pPr>
        <w:spacing w:before="240" w:after="120"/>
        <w:jc w:val="center"/>
        <w:rPr>
          <w:rFonts w:ascii="Calibri" w:hAnsi="Calibri" w:cs="Calibri"/>
          <w:b/>
          <w:bCs/>
          <w:iCs/>
          <w:color w:val="632423" w:themeColor="accent2" w:themeShade="80"/>
          <w:sz w:val="44"/>
          <w:szCs w:val="44"/>
          <w:lang w:val="en-US"/>
        </w:rPr>
      </w:pPr>
      <w:r>
        <w:rPr>
          <w:rFonts w:ascii="Calibri" w:hAnsi="Calibri" w:cs="Calibri"/>
          <w:b/>
          <w:bCs/>
          <w:iCs/>
          <w:color w:val="632423" w:themeColor="accent2" w:themeShade="80"/>
          <w:sz w:val="44"/>
          <w:szCs w:val="44"/>
          <w:lang w:val="en-US"/>
        </w:rPr>
        <w:t>PROJECT DOCUMENT</w:t>
      </w:r>
    </w:p>
    <w:p w14:paraId="567C6E83" w14:textId="2BE49C4B" w:rsidR="00480346" w:rsidRPr="003B2546" w:rsidRDefault="00480346" w:rsidP="00633742">
      <w:pPr>
        <w:spacing w:before="120" w:after="120"/>
        <w:jc w:val="center"/>
        <w:rPr>
          <w:rFonts w:ascii="Calibri" w:hAnsi="Calibri" w:cs="Calibri"/>
          <w:b/>
          <w:bCs/>
          <w:iCs/>
          <w:color w:val="632423" w:themeColor="accent2" w:themeShade="80"/>
          <w:sz w:val="44"/>
          <w:szCs w:val="44"/>
          <w:lang w:val="en-US"/>
        </w:rPr>
      </w:pPr>
      <w:bookmarkStart w:id="0" w:name="_Hlk225168958"/>
      <w:r w:rsidRPr="00480346">
        <w:rPr>
          <w:rFonts w:ascii="Calibri" w:hAnsi="Calibri" w:cs="Calibri"/>
          <w:b/>
          <w:bCs/>
          <w:iCs/>
          <w:color w:val="632423" w:themeColor="accent2" w:themeShade="80"/>
          <w:sz w:val="44"/>
          <w:szCs w:val="44"/>
          <w:lang w:val="en-US"/>
        </w:rPr>
        <w:t>Proposal for New Work on a Regional Code of Hygienic Practice for Food Prepared in Underground Ovens</w:t>
      </w:r>
    </w:p>
    <w:bookmarkEnd w:id="0"/>
    <w:p w14:paraId="319203C0" w14:textId="5AAB1D8F" w:rsidR="00480346" w:rsidRDefault="009544C7" w:rsidP="00633742">
      <w:pPr>
        <w:spacing w:before="120" w:after="360"/>
        <w:jc w:val="center"/>
        <w:rPr>
          <w:rFonts w:ascii="Calibri" w:hAnsi="Calibri" w:cs="Calibri"/>
          <w:bCs/>
          <w:iCs/>
          <w:color w:val="E36C0A" w:themeColor="accent6" w:themeShade="BF"/>
          <w:lang w:val="en-US"/>
        </w:rPr>
      </w:pPr>
      <w:r w:rsidRPr="00A82D8E">
        <w:rPr>
          <w:rFonts w:ascii="Calibri" w:hAnsi="Calibri" w:cs="Calibri"/>
          <w:bCs/>
          <w:iCs/>
          <w:color w:val="E36C0A" w:themeColor="accent6" w:themeShade="BF"/>
          <w:lang w:val="en-US"/>
        </w:rPr>
        <w:t>Supporting the Enhancement of Food Control Systems in the SWP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10790"/>
      </w:tblGrid>
      <w:tr w:rsidR="00851BC9" w14:paraId="21F6DABC" w14:textId="77777777" w:rsidTr="000B4B6F">
        <w:tc>
          <w:tcPr>
            <w:tcW w:w="10790" w:type="dxa"/>
            <w:shd w:val="clear" w:color="auto" w:fill="FDE9D9" w:themeFill="accent6" w:themeFillTint="33"/>
          </w:tcPr>
          <w:sdt>
            <w:sdtPr>
              <w:rPr>
                <w:rFonts w:ascii="Calibri" w:hAnsi="Calibri" w:cs="Calibri"/>
                <w:sz w:val="22"/>
                <w:szCs w:val="22"/>
              </w:rPr>
              <w:id w:val="-1102104004"/>
              <w:docPartObj>
                <w:docPartGallery w:val="Table of Contents"/>
                <w:docPartUnique/>
              </w:docPartObj>
            </w:sdtPr>
            <w:sdtEndPr>
              <w:rPr>
                <w:rFonts w:eastAsia="Times New Roman"/>
                <w:b/>
                <w:bCs/>
                <w:noProof/>
                <w:color w:val="auto"/>
                <w:lang w:val="en-CA" w:eastAsia="zh-CN"/>
              </w:rPr>
            </w:sdtEndPr>
            <w:sdtContent>
              <w:p w14:paraId="7CDFD4B9" w14:textId="77777777" w:rsidR="00851BC9" w:rsidRPr="00851BC9" w:rsidRDefault="00851BC9" w:rsidP="000B4B6F">
                <w:pPr>
                  <w:pStyle w:val="TOCHeading"/>
                  <w:rPr>
                    <w:rFonts w:ascii="Calibri" w:hAnsi="Calibri" w:cs="Calibri"/>
                    <w:b/>
                    <w:bCs/>
                    <w:color w:val="632423" w:themeColor="accent2" w:themeShade="80"/>
                    <w:sz w:val="22"/>
                    <w:szCs w:val="22"/>
                  </w:rPr>
                </w:pPr>
                <w:r w:rsidRPr="00851BC9">
                  <w:rPr>
                    <w:rFonts w:ascii="Calibri" w:hAnsi="Calibri" w:cs="Calibri"/>
                    <w:b/>
                    <w:bCs/>
                    <w:color w:val="632423" w:themeColor="accent2" w:themeShade="80"/>
                    <w:sz w:val="22"/>
                    <w:szCs w:val="22"/>
                  </w:rPr>
                  <w:t>Contents</w:t>
                </w:r>
              </w:p>
              <w:p w14:paraId="31F0C3A1" w14:textId="77777777" w:rsidR="00851BC9" w:rsidRPr="00480346" w:rsidRDefault="00851BC9" w:rsidP="00851BC9">
                <w:pPr>
                  <w:pStyle w:val="TOC1"/>
                  <w:tabs>
                    <w:tab w:val="right" w:leader="dot" w:pos="10790"/>
                  </w:tabs>
                  <w:rPr>
                    <w:rFonts w:ascii="Calibri" w:hAnsi="Calibri" w:cs="Calibri"/>
                    <w:noProof/>
                  </w:rPr>
                </w:pPr>
                <w:r w:rsidRPr="00480346">
                  <w:rPr>
                    <w:rFonts w:ascii="Calibri" w:hAnsi="Calibri" w:cs="Calibri"/>
                  </w:rPr>
                  <w:fldChar w:fldCharType="begin"/>
                </w:r>
                <w:r w:rsidRPr="00480346">
                  <w:rPr>
                    <w:rFonts w:ascii="Calibri" w:hAnsi="Calibri" w:cs="Calibri"/>
                  </w:rPr>
                  <w:instrText xml:space="preserve"> TOC \o "1-3" \h \z \u </w:instrText>
                </w:r>
                <w:r w:rsidRPr="00480346">
                  <w:rPr>
                    <w:rFonts w:ascii="Calibri" w:hAnsi="Calibri" w:cs="Calibri"/>
                  </w:rPr>
                  <w:fldChar w:fldCharType="separate"/>
                </w:r>
                <w:hyperlink w:anchor="_Toc225169288" w:history="1">
                  <w:r w:rsidRPr="00480346">
                    <w:rPr>
                      <w:rStyle w:val="Hyperlink"/>
                      <w:rFonts w:ascii="Calibri" w:hAnsi="Calibri" w:cs="Calibri"/>
                      <w:noProof/>
                    </w:rPr>
                    <w:t>1. Purpose and Scope of the Proposed Code</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_Toc225169288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2</w:t>
                  </w:r>
                  <w:r w:rsidRPr="00480346">
                    <w:rPr>
                      <w:rFonts w:ascii="Calibri" w:hAnsi="Calibri" w:cs="Calibri"/>
                      <w:noProof/>
                      <w:webHidden/>
                    </w:rPr>
                    <w:fldChar w:fldCharType="end"/>
                  </w:r>
                </w:hyperlink>
              </w:p>
              <w:p w14:paraId="7C8DCC3B" w14:textId="77777777" w:rsidR="00851BC9" w:rsidRPr="00480346" w:rsidRDefault="00851BC9" w:rsidP="00851BC9">
                <w:pPr>
                  <w:pStyle w:val="TOC1"/>
                  <w:tabs>
                    <w:tab w:val="right" w:leader="dot" w:pos="10790"/>
                  </w:tabs>
                  <w:rPr>
                    <w:rFonts w:ascii="Calibri" w:hAnsi="Calibri" w:cs="Calibri"/>
                    <w:noProof/>
                  </w:rPr>
                </w:pPr>
                <w:hyperlink w:anchor="_Toc225169289" w:history="1">
                  <w:r w:rsidRPr="00480346">
                    <w:rPr>
                      <w:rStyle w:val="Hyperlink"/>
                      <w:rFonts w:ascii="Calibri" w:hAnsi="Calibri" w:cs="Calibri"/>
                      <w:noProof/>
                    </w:rPr>
                    <w:t>2. Relevance and Timeliness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_Toc225169289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2</w:t>
                  </w:r>
                  <w:r w:rsidRPr="00480346">
                    <w:rPr>
                      <w:rFonts w:ascii="Calibri" w:hAnsi="Calibri" w:cs="Calibri"/>
                      <w:noProof/>
                      <w:webHidden/>
                    </w:rPr>
                    <w:fldChar w:fldCharType="end"/>
                  </w:r>
                </w:hyperlink>
              </w:p>
              <w:p w14:paraId="66E0DDFB" w14:textId="77777777" w:rsidR="00851BC9" w:rsidRPr="00480346" w:rsidRDefault="00851BC9" w:rsidP="00851BC9">
                <w:pPr>
                  <w:pStyle w:val="TOC1"/>
                  <w:tabs>
                    <w:tab w:val="right" w:leader="dot" w:pos="10790"/>
                  </w:tabs>
                  <w:rPr>
                    <w:rFonts w:ascii="Calibri" w:hAnsi="Calibri" w:cs="Calibri"/>
                    <w:noProof/>
                  </w:rPr>
                </w:pPr>
                <w:hyperlink w:anchor="_Toc225169290" w:history="1">
                  <w:r w:rsidRPr="00480346">
                    <w:rPr>
                      <w:rStyle w:val="Hyperlink"/>
                      <w:rFonts w:ascii="Calibri" w:hAnsi="Calibri" w:cs="Calibri"/>
                      <w:noProof/>
                    </w:rPr>
                    <w:t>3. Main Aspects to be Covered</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_Toc225169290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2</w:t>
                  </w:r>
                  <w:r w:rsidRPr="00480346">
                    <w:rPr>
                      <w:rFonts w:ascii="Calibri" w:hAnsi="Calibri" w:cs="Calibri"/>
                      <w:noProof/>
                      <w:webHidden/>
                    </w:rPr>
                    <w:fldChar w:fldCharType="end"/>
                  </w:r>
                </w:hyperlink>
              </w:p>
              <w:p w14:paraId="5BB0CB69" w14:textId="77777777" w:rsidR="00851BC9" w:rsidRPr="00480346" w:rsidRDefault="00851BC9" w:rsidP="00851BC9">
                <w:pPr>
                  <w:pStyle w:val="TOC1"/>
                  <w:tabs>
                    <w:tab w:val="right" w:leader="dot" w:pos="10790"/>
                  </w:tabs>
                  <w:rPr>
                    <w:rFonts w:ascii="Calibri" w:hAnsi="Calibri" w:cs="Calibri"/>
                    <w:noProof/>
                  </w:rPr>
                </w:pPr>
                <w:hyperlink w:anchor="_Toc225169291" w:history="1">
                  <w:r w:rsidRPr="00480346">
                    <w:rPr>
                      <w:rStyle w:val="Hyperlink"/>
                      <w:rFonts w:ascii="Calibri" w:hAnsi="Calibri" w:cs="Calibri"/>
                      <w:noProof/>
                    </w:rPr>
                    <w:t>4. Assessment Against the Criteria for the Establishment of Work Priorities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_Toc225169291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3</w:t>
                  </w:r>
                  <w:r w:rsidRPr="00480346">
                    <w:rPr>
                      <w:rFonts w:ascii="Calibri" w:hAnsi="Calibri" w:cs="Calibri"/>
                      <w:noProof/>
                      <w:webHidden/>
                    </w:rPr>
                    <w:fldChar w:fldCharType="end"/>
                  </w:r>
                </w:hyperlink>
              </w:p>
              <w:p w14:paraId="28786432" w14:textId="77777777" w:rsidR="00851BC9" w:rsidRPr="00480346" w:rsidRDefault="00851BC9" w:rsidP="00851BC9">
                <w:pPr>
                  <w:pStyle w:val="TOC1"/>
                  <w:tabs>
                    <w:tab w:val="right" w:leader="dot" w:pos="10790"/>
                  </w:tabs>
                  <w:rPr>
                    <w:rFonts w:ascii="Calibri" w:hAnsi="Calibri" w:cs="Calibri"/>
                    <w:noProof/>
                  </w:rPr>
                </w:pPr>
                <w:hyperlink w:anchor="_Toc225169292" w:history="1">
                  <w:r w:rsidRPr="00480346">
                    <w:rPr>
                      <w:rStyle w:val="Hyperlink"/>
                      <w:rFonts w:ascii="Calibri" w:hAnsi="Calibri" w:cs="Calibri"/>
                      <w:noProof/>
                    </w:rPr>
                    <w:t>5. Relevance to Codex Strategic Objectives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_Toc225169292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3</w:t>
                  </w:r>
                  <w:r w:rsidRPr="00480346">
                    <w:rPr>
                      <w:rFonts w:ascii="Calibri" w:hAnsi="Calibri" w:cs="Calibri"/>
                      <w:noProof/>
                      <w:webHidden/>
                    </w:rPr>
                    <w:fldChar w:fldCharType="end"/>
                  </w:r>
                </w:hyperlink>
              </w:p>
              <w:p w14:paraId="2DA89EF8" w14:textId="77777777" w:rsidR="00851BC9" w:rsidRPr="00480346" w:rsidRDefault="00851BC9" w:rsidP="00851BC9">
                <w:pPr>
                  <w:pStyle w:val="TOC1"/>
                  <w:tabs>
                    <w:tab w:val="right" w:leader="dot" w:pos="10790"/>
                  </w:tabs>
                  <w:rPr>
                    <w:rFonts w:ascii="Calibri" w:hAnsi="Calibri" w:cs="Calibri"/>
                    <w:noProof/>
                  </w:rPr>
                </w:pPr>
                <w:hyperlink w:anchor="_Toc225169293" w:history="1">
                  <w:r w:rsidRPr="00480346">
                    <w:rPr>
                      <w:rStyle w:val="Hyperlink"/>
                      <w:rFonts w:ascii="Calibri" w:hAnsi="Calibri" w:cs="Calibri"/>
                      <w:noProof/>
                    </w:rPr>
                    <w:t>6. Relationship with Existing Codex Documents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_Toc225169293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4</w:t>
                  </w:r>
                  <w:r w:rsidRPr="00480346">
                    <w:rPr>
                      <w:rFonts w:ascii="Calibri" w:hAnsi="Calibri" w:cs="Calibri"/>
                      <w:noProof/>
                      <w:webHidden/>
                    </w:rPr>
                    <w:fldChar w:fldCharType="end"/>
                  </w:r>
                </w:hyperlink>
              </w:p>
              <w:p w14:paraId="38E74A8A" w14:textId="77777777" w:rsidR="00851BC9" w:rsidRPr="00480346" w:rsidRDefault="00851BC9" w:rsidP="00851BC9">
                <w:pPr>
                  <w:pStyle w:val="TOC1"/>
                  <w:tabs>
                    <w:tab w:val="right" w:leader="dot" w:pos="10790"/>
                  </w:tabs>
                  <w:rPr>
                    <w:rFonts w:ascii="Calibri" w:hAnsi="Calibri" w:cs="Calibri"/>
                    <w:noProof/>
                  </w:rPr>
                </w:pPr>
                <w:hyperlink w:anchor="_Toc225169294" w:history="1">
                  <w:r w:rsidRPr="00480346">
                    <w:rPr>
                      <w:rStyle w:val="Hyperlink"/>
                      <w:rFonts w:ascii="Calibri" w:hAnsi="Calibri" w:cs="Calibri"/>
                      <w:noProof/>
                    </w:rPr>
                    <w:t>7. Identification of Any Requirement for Scientific Advice and / or Technical Input from Other Bodies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_Toc225169294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4</w:t>
                  </w:r>
                  <w:r w:rsidRPr="00480346">
                    <w:rPr>
                      <w:rFonts w:ascii="Calibri" w:hAnsi="Calibri" w:cs="Calibri"/>
                      <w:noProof/>
                      <w:webHidden/>
                    </w:rPr>
                    <w:fldChar w:fldCharType="end"/>
                  </w:r>
                </w:hyperlink>
              </w:p>
              <w:p w14:paraId="1C235DB0" w14:textId="77777777" w:rsidR="00851BC9" w:rsidRPr="00480346" w:rsidRDefault="00851BC9" w:rsidP="00851BC9">
                <w:pPr>
                  <w:pStyle w:val="TOC1"/>
                  <w:tabs>
                    <w:tab w:val="right" w:leader="dot" w:pos="10790"/>
                  </w:tabs>
                  <w:rPr>
                    <w:rFonts w:ascii="Calibri" w:hAnsi="Calibri" w:cs="Calibri"/>
                    <w:noProof/>
                  </w:rPr>
                </w:pPr>
                <w:hyperlink w:anchor="_Toc225169295" w:history="1">
                  <w:r w:rsidRPr="00480346">
                    <w:rPr>
                      <w:rStyle w:val="Hyperlink"/>
                      <w:rFonts w:ascii="Calibri" w:hAnsi="Calibri" w:cs="Calibri"/>
                      <w:noProof/>
                    </w:rPr>
                    <w:t>8. Proposed Approach and Timeline</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_Toc225169295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4</w:t>
                  </w:r>
                  <w:r w:rsidRPr="00480346">
                    <w:rPr>
                      <w:rFonts w:ascii="Calibri" w:hAnsi="Calibri" w:cs="Calibri"/>
                      <w:noProof/>
                      <w:webHidden/>
                    </w:rPr>
                    <w:fldChar w:fldCharType="end"/>
                  </w:r>
                </w:hyperlink>
              </w:p>
              <w:p w14:paraId="13CDDC57" w14:textId="77777777" w:rsidR="00851BC9" w:rsidRPr="00480346" w:rsidRDefault="00851BC9" w:rsidP="00851BC9">
                <w:pPr>
                  <w:pStyle w:val="TOC1"/>
                  <w:tabs>
                    <w:tab w:val="right" w:leader="dot" w:pos="10790"/>
                  </w:tabs>
                  <w:rPr>
                    <w:rFonts w:ascii="Calibri" w:hAnsi="Calibri" w:cs="Calibri"/>
                    <w:noProof/>
                  </w:rPr>
                </w:pPr>
                <w:hyperlink w:anchor="_Toc225169296" w:history="1">
                  <w:r w:rsidRPr="00480346">
                    <w:rPr>
                      <w:rStyle w:val="Hyperlink"/>
                      <w:rFonts w:ascii="Calibri" w:hAnsi="Calibri" w:cs="Calibri"/>
                      <w:noProof/>
                    </w:rPr>
                    <w:t>9. Conclusion</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_Toc225169296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4</w:t>
                  </w:r>
                  <w:r w:rsidRPr="00480346">
                    <w:rPr>
                      <w:rFonts w:ascii="Calibri" w:hAnsi="Calibri" w:cs="Calibri"/>
                      <w:noProof/>
                      <w:webHidden/>
                    </w:rPr>
                    <w:fldChar w:fldCharType="end"/>
                  </w:r>
                </w:hyperlink>
              </w:p>
              <w:p w14:paraId="5B8AC04F" w14:textId="77777777" w:rsidR="00851BC9" w:rsidRPr="00480346" w:rsidRDefault="00851BC9" w:rsidP="00851BC9">
                <w:pPr>
                  <w:pStyle w:val="TOC1"/>
                  <w:tabs>
                    <w:tab w:val="right" w:leader="dot" w:pos="10790"/>
                  </w:tabs>
                  <w:rPr>
                    <w:rFonts w:ascii="Calibri" w:hAnsi="Calibri" w:cs="Calibri"/>
                    <w:noProof/>
                  </w:rPr>
                </w:pPr>
                <w:hyperlink w:anchor="_Toc225169297" w:history="1">
                  <w:r w:rsidRPr="00480346">
                    <w:rPr>
                      <w:rStyle w:val="Hyperlink"/>
                      <w:rFonts w:ascii="Calibri" w:hAnsi="Calibri" w:cs="Calibri"/>
                      <w:noProof/>
                    </w:rPr>
                    <w:t>Annex: Regional Code of Hygienic Practice for Food Prepared in Underground Ovens</w:t>
                  </w:r>
                  <w:r w:rsidRPr="00480346">
                    <w:rPr>
                      <w:rFonts w:ascii="Calibri" w:hAnsi="Calibri" w:cs="Calibri"/>
                      <w:noProof/>
                      <w:webHidden/>
                    </w:rPr>
                    <w:tab/>
                  </w:r>
                  <w:r w:rsidRPr="00480346">
                    <w:rPr>
                      <w:rFonts w:ascii="Calibri" w:hAnsi="Calibri" w:cs="Calibri"/>
                      <w:noProof/>
                      <w:webHidden/>
                    </w:rPr>
                    <w:fldChar w:fldCharType="begin"/>
                  </w:r>
                  <w:r w:rsidRPr="00480346">
                    <w:rPr>
                      <w:rFonts w:ascii="Calibri" w:hAnsi="Calibri" w:cs="Calibri"/>
                      <w:noProof/>
                      <w:webHidden/>
                    </w:rPr>
                    <w:instrText xml:space="preserve"> PAGEREF _Toc225169297 \h </w:instrText>
                  </w:r>
                  <w:r w:rsidRPr="00480346">
                    <w:rPr>
                      <w:rFonts w:ascii="Calibri" w:hAnsi="Calibri" w:cs="Calibri"/>
                      <w:noProof/>
                      <w:webHidden/>
                    </w:rPr>
                  </w:r>
                  <w:r w:rsidRPr="00480346">
                    <w:rPr>
                      <w:rFonts w:ascii="Calibri" w:hAnsi="Calibri" w:cs="Calibri"/>
                      <w:noProof/>
                      <w:webHidden/>
                    </w:rPr>
                    <w:fldChar w:fldCharType="separate"/>
                  </w:r>
                  <w:r w:rsidRPr="00480346">
                    <w:rPr>
                      <w:rFonts w:ascii="Calibri" w:hAnsi="Calibri" w:cs="Calibri"/>
                      <w:noProof/>
                      <w:webHidden/>
                    </w:rPr>
                    <w:t>5</w:t>
                  </w:r>
                  <w:r w:rsidRPr="00480346">
                    <w:rPr>
                      <w:rFonts w:ascii="Calibri" w:hAnsi="Calibri" w:cs="Calibri"/>
                      <w:noProof/>
                      <w:webHidden/>
                    </w:rPr>
                    <w:fldChar w:fldCharType="end"/>
                  </w:r>
                </w:hyperlink>
              </w:p>
              <w:p w14:paraId="739122F4" w14:textId="118A6627" w:rsidR="00851BC9" w:rsidRPr="00851BC9" w:rsidRDefault="00851BC9" w:rsidP="00851BC9">
                <w:r w:rsidRPr="00480346">
                  <w:rPr>
                    <w:rFonts w:ascii="Calibri" w:hAnsi="Calibri" w:cs="Calibri"/>
                    <w:b/>
                    <w:bCs/>
                    <w:noProof/>
                  </w:rPr>
                  <w:fldChar w:fldCharType="end"/>
                </w:r>
              </w:p>
            </w:sdtContent>
          </w:sdt>
        </w:tc>
      </w:tr>
    </w:tbl>
    <w:p w14:paraId="3246AF03" w14:textId="39893CDB" w:rsidR="00480346" w:rsidRDefault="00480346">
      <w:pPr>
        <w:rPr>
          <w:rFonts w:ascii="Calibri" w:hAnsi="Calibri" w:cs="Calibri"/>
          <w:bCs/>
          <w:iCs/>
          <w:color w:val="E36C0A" w:themeColor="accent6" w:themeShade="BF"/>
          <w:lang w:val="en-US"/>
        </w:rPr>
      </w:pPr>
    </w:p>
    <w:p w14:paraId="60F07333" w14:textId="1FDBD013" w:rsidR="003969B2" w:rsidRDefault="003969B2">
      <w:pPr>
        <w:rPr>
          <w:rFonts w:ascii="Calibri" w:hAnsi="Calibri" w:cs="Calibri"/>
          <w:bCs/>
          <w:iCs/>
          <w:color w:val="E36C0A" w:themeColor="accent6" w:themeShade="BF"/>
          <w:lang w:val="en-US"/>
        </w:rPr>
      </w:pPr>
      <w:r>
        <w:rPr>
          <w:rFonts w:ascii="Calibri" w:hAnsi="Calibri" w:cs="Calibri"/>
          <w:bCs/>
          <w:iCs/>
          <w:color w:val="E36C0A" w:themeColor="accent6" w:themeShade="BF"/>
          <w:lang w:val="en-US"/>
        </w:rPr>
        <w:br w:type="page"/>
      </w:r>
    </w:p>
    <w:p w14:paraId="52BF7512" w14:textId="77777777" w:rsidR="00480346" w:rsidRPr="00480346" w:rsidRDefault="00480346" w:rsidP="00480346">
      <w:pPr>
        <w:pStyle w:val="Heading1"/>
        <w:rPr>
          <w:lang w:eastAsia="ko-KR"/>
        </w:rPr>
      </w:pPr>
      <w:bookmarkStart w:id="1" w:name="_Toc225169288"/>
      <w:r w:rsidRPr="00480346">
        <w:lastRenderedPageBreak/>
        <w:t>1. Purpose and Scope of the Proposed Code</w:t>
      </w:r>
      <w:bookmarkEnd w:id="1"/>
    </w:p>
    <w:p w14:paraId="15FB14A6"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purpose of this proposed new work is to develop a </w:t>
      </w:r>
      <w:r w:rsidRPr="00480346">
        <w:rPr>
          <w:rFonts w:ascii="Calibri" w:hAnsi="Calibri" w:cs="Calibri"/>
          <w:b/>
          <w:bCs/>
          <w:color w:val="000000"/>
          <w:sz w:val="22"/>
          <w:szCs w:val="22"/>
          <w:bdr w:val="none" w:sz="0" w:space="0" w:color="auto" w:frame="1"/>
        </w:rPr>
        <w:t>Codex Regional Code of Hygienic Practice</w:t>
      </w:r>
      <w:r w:rsidRPr="00480346">
        <w:rPr>
          <w:rFonts w:ascii="Calibri" w:hAnsi="Calibri" w:cs="Calibri"/>
          <w:color w:val="000000"/>
          <w:sz w:val="22"/>
          <w:szCs w:val="22"/>
          <w:bdr w:val="none" w:sz="0" w:space="0" w:color="auto" w:frame="1"/>
        </w:rPr>
        <w:t> addressing the preparation of foods using traditional underground oven cooking methods widely practiced across the South West Pacific region. These methods—known under various names such as lovo, hangi, imu, mumu, and umu—are integral to cultural, social, and community life and are increasingly being used in commercial and tourism settings.</w:t>
      </w:r>
    </w:p>
    <w:p w14:paraId="5C53E75D"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proposed Code will provide </w:t>
      </w:r>
      <w:r w:rsidRPr="00480346">
        <w:rPr>
          <w:rFonts w:ascii="Calibri" w:hAnsi="Calibri" w:cs="Calibri"/>
          <w:b/>
          <w:bCs/>
          <w:color w:val="000000"/>
          <w:sz w:val="22"/>
          <w:szCs w:val="22"/>
          <w:bdr w:val="none" w:sz="0" w:space="0" w:color="auto" w:frame="1"/>
        </w:rPr>
        <w:t>practical, science-based guidance</w:t>
      </w:r>
      <w:r w:rsidRPr="00480346">
        <w:rPr>
          <w:rFonts w:ascii="Calibri" w:hAnsi="Calibri" w:cs="Calibri"/>
          <w:color w:val="000000"/>
          <w:sz w:val="22"/>
          <w:szCs w:val="22"/>
          <w:bdr w:val="none" w:sz="0" w:space="0" w:color="auto" w:frame="1"/>
        </w:rPr>
        <w:t> on hygienic practices applicable to the preparation, cooking, handling, and storage of foods prepared in underground ovens. It is intended to support both traditional and commercial applications of these methods, while preserving their cultural integrity.</w:t>
      </w:r>
    </w:p>
    <w:p w14:paraId="19DFCA6E"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Code will apply to </w:t>
      </w:r>
      <w:r w:rsidRPr="00480346">
        <w:rPr>
          <w:rFonts w:ascii="Calibri" w:hAnsi="Calibri" w:cs="Calibri"/>
          <w:b/>
          <w:bCs/>
          <w:color w:val="000000"/>
          <w:sz w:val="22"/>
          <w:szCs w:val="22"/>
          <w:bdr w:val="none" w:sz="0" w:space="0" w:color="auto" w:frame="1"/>
        </w:rPr>
        <w:t>community groups, food business operators, event organizers, and relevant competent authorities</w:t>
      </w:r>
      <w:r w:rsidRPr="00480346">
        <w:rPr>
          <w:rFonts w:ascii="Calibri" w:hAnsi="Calibri" w:cs="Calibri"/>
          <w:color w:val="000000"/>
          <w:sz w:val="22"/>
          <w:szCs w:val="22"/>
          <w:bdr w:val="none" w:sz="0" w:space="0" w:color="auto" w:frame="1"/>
        </w:rPr>
        <w:t>, and will be used in conjunction with existing Codex texts, particularly the </w:t>
      </w:r>
      <w:r w:rsidRPr="00480346">
        <w:rPr>
          <w:rFonts w:ascii="Calibri" w:hAnsi="Calibri" w:cs="Calibri"/>
          <w:i/>
          <w:iCs/>
          <w:color w:val="000000"/>
          <w:sz w:val="22"/>
          <w:szCs w:val="22"/>
          <w:bdr w:val="none" w:sz="0" w:space="0" w:color="auto" w:frame="1"/>
        </w:rPr>
        <w:t>General Principles of Food Hygiene (CXC 1-1969)</w:t>
      </w:r>
      <w:r w:rsidRPr="00480346">
        <w:rPr>
          <w:rFonts w:ascii="Calibri" w:hAnsi="Calibri" w:cs="Calibri"/>
          <w:color w:val="000000"/>
          <w:sz w:val="22"/>
          <w:szCs w:val="22"/>
          <w:bdr w:val="none" w:sz="0" w:space="0" w:color="auto" w:frame="1"/>
        </w:rPr>
        <w:t>. It will provide additional, context-specific guidance addressing the unique characteristics and constraints of underground oven cooking systems. </w:t>
      </w:r>
    </w:p>
    <w:p w14:paraId="0C3DDCAF" w14:textId="77777777" w:rsidR="00480346" w:rsidRPr="00480346" w:rsidRDefault="00480346" w:rsidP="00480346">
      <w:pPr>
        <w:pStyle w:val="Heading1"/>
      </w:pPr>
      <w:bookmarkStart w:id="2" w:name="_Toc225169289"/>
      <w:r w:rsidRPr="00480346">
        <w:t>2. Relevance and Timeliness</w:t>
      </w:r>
      <w:bookmarkEnd w:id="2"/>
    </w:p>
    <w:p w14:paraId="3C47EDBB"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Underground oven cooking is a longstanding and widely practiced traditional method across the Pacific Islands, deeply embedded in cultural and social practices and used for both daily consumption and large communal gatherings. </w:t>
      </w:r>
    </w:p>
    <w:p w14:paraId="2E77F5B4"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In recent years, the use of these cooking methods has expanded beyond traditional contexts into </w:t>
      </w:r>
      <w:r w:rsidRPr="00480346">
        <w:rPr>
          <w:rFonts w:ascii="Calibri" w:hAnsi="Calibri" w:cs="Calibri"/>
          <w:b/>
          <w:bCs/>
          <w:color w:val="000000"/>
          <w:sz w:val="22"/>
          <w:szCs w:val="22"/>
          <w:bdr w:val="none" w:sz="0" w:space="0" w:color="auto" w:frame="1"/>
        </w:rPr>
        <w:t>hospitality, tourism, and commercial food service</w:t>
      </w:r>
      <w:r w:rsidRPr="00480346">
        <w:rPr>
          <w:rFonts w:ascii="Calibri" w:hAnsi="Calibri" w:cs="Calibri"/>
          <w:color w:val="000000"/>
          <w:sz w:val="22"/>
          <w:szCs w:val="22"/>
          <w:bdr w:val="none" w:sz="0" w:space="0" w:color="auto" w:frame="1"/>
        </w:rPr>
        <w:t>, increasing their relevance to food safety regulatory frameworks. </w:t>
      </w:r>
    </w:p>
    <w:p w14:paraId="4B19BAE7"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At the same time, food safety authorities in the region face important challenges in addressing these practices, due to the absence of standardized guidance, variability in cooking processes, and limited availability of data related to consumption patterns and foodborne risks. Scientific observations have highlighted variability in cooking temperatures (ranging from approximately 60°C to over 300°C), as well as potential microbiological risks associated with inadequate cooking or post-cooking handling. </w:t>
      </w:r>
    </w:p>
    <w:p w14:paraId="352418D2"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absence of specific hygiene guidance tailored to underground cooking practices creates a clear gap in existing Codex texts. This gap has been explicitly identified by food regulatory authorities from the South West Pacific region, who have highlighted the need for practical and context-appropriate guidance to support food business operators and community practitioners engaged in these traditional methods. This issue was notably brought forward by Vanuatu during the </w:t>
      </w:r>
      <w:r w:rsidRPr="00480346">
        <w:rPr>
          <w:rFonts w:ascii="Calibri" w:hAnsi="Calibri" w:cs="Calibri"/>
          <w:b/>
          <w:bCs/>
          <w:color w:val="000000"/>
          <w:sz w:val="22"/>
          <w:szCs w:val="22"/>
          <w:bdr w:val="none" w:sz="0" w:space="0" w:color="auto" w:frame="1"/>
        </w:rPr>
        <w:t>Second Codex Colloquium for the South West Pacific (Fiji, 2023)</w:t>
      </w:r>
      <w:r w:rsidRPr="00480346">
        <w:rPr>
          <w:rFonts w:ascii="Calibri" w:hAnsi="Calibri" w:cs="Calibri"/>
          <w:color w:val="000000"/>
          <w:sz w:val="22"/>
          <w:szCs w:val="22"/>
          <w:bdr w:val="none" w:sz="0" w:space="0" w:color="auto" w:frame="1"/>
        </w:rPr>
        <w:t>, where participants identified the lack of guidance as a priority area requiring Codex attention. It was further discussed at CCNASWP 17, through a discussion paper introduced by Vanuatu.</w:t>
      </w:r>
    </w:p>
    <w:p w14:paraId="44D8EF27"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proposal is therefore timely, as it responds directly to priorities identified under the CCNASWP framework and reflects a regional consensus on the need to strengthen food safety governance while preserving culturally significant practices. It supports the safe continuation and adaptation of underground cooking methods and addresses their increasing commercialization, particularly within tourism and food service sectors. In doing so, it aims to bridge traditional knowledge and modern food safety principles through the development of practical, science-informed guidance adapted to regional realities.</w:t>
      </w:r>
    </w:p>
    <w:p w14:paraId="4151F525" w14:textId="77777777" w:rsidR="00480346" w:rsidRPr="00480346" w:rsidRDefault="00480346" w:rsidP="00480346">
      <w:pPr>
        <w:pStyle w:val="Heading1"/>
      </w:pPr>
      <w:bookmarkStart w:id="3" w:name="_Toc225169290"/>
      <w:r w:rsidRPr="00480346">
        <w:t>3. Main Aspects to be Covered</w:t>
      </w:r>
      <w:bookmarkEnd w:id="3"/>
    </w:p>
    <w:p w14:paraId="00366D41"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proposed Code will provide the guidance needed to cover the key stages and risk factors associated with underground oven cooking.</w:t>
      </w:r>
    </w:p>
    <w:p w14:paraId="4309FDCD"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lastRenderedPageBreak/>
        <w:t>It will first establish </w:t>
      </w:r>
      <w:r w:rsidRPr="00480346">
        <w:rPr>
          <w:rFonts w:ascii="Calibri" w:hAnsi="Calibri" w:cs="Calibri"/>
          <w:b/>
          <w:bCs/>
          <w:color w:val="000000"/>
          <w:sz w:val="22"/>
          <w:szCs w:val="22"/>
          <w:bdr w:val="none" w:sz="0" w:space="0" w:color="auto" w:frame="1"/>
        </w:rPr>
        <w:t>clear definitions and scope</w:t>
      </w:r>
      <w:r w:rsidRPr="00480346">
        <w:rPr>
          <w:rFonts w:ascii="Calibri" w:hAnsi="Calibri" w:cs="Calibri"/>
          <w:color w:val="000000"/>
          <w:sz w:val="22"/>
          <w:szCs w:val="22"/>
          <w:bdr w:val="none" w:sz="0" w:space="0" w:color="auto" w:frame="1"/>
        </w:rPr>
        <w:t>, including a description of underground ovens, associated materials such as stones and plant layers, and their variations across the region. </w:t>
      </w:r>
    </w:p>
    <w:p w14:paraId="715A7B3C"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It will then address </w:t>
      </w:r>
      <w:r w:rsidRPr="00480346">
        <w:rPr>
          <w:rFonts w:ascii="Calibri" w:hAnsi="Calibri" w:cs="Calibri"/>
          <w:b/>
          <w:bCs/>
          <w:color w:val="000000"/>
          <w:sz w:val="22"/>
          <w:szCs w:val="22"/>
          <w:bdr w:val="none" w:sz="0" w:space="0" w:color="auto" w:frame="1"/>
        </w:rPr>
        <w:t>general hygiene requirements</w:t>
      </w:r>
      <w:r w:rsidRPr="00480346">
        <w:rPr>
          <w:rFonts w:ascii="Calibri" w:hAnsi="Calibri" w:cs="Calibri"/>
          <w:color w:val="000000"/>
          <w:sz w:val="22"/>
          <w:szCs w:val="22"/>
          <w:bdr w:val="none" w:sz="0" w:space="0" w:color="auto" w:frame="1"/>
        </w:rPr>
        <w:t>, including food handler health and hygiene, training and competence, and responsibilities of food business operators in ensuring food safety.</w:t>
      </w:r>
    </w:p>
    <w:p w14:paraId="3736AC40"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Code will include provisions related to the </w:t>
      </w:r>
      <w:r w:rsidRPr="00480346">
        <w:rPr>
          <w:rFonts w:ascii="Calibri" w:hAnsi="Calibri" w:cs="Calibri"/>
          <w:b/>
          <w:bCs/>
          <w:color w:val="000000"/>
          <w:sz w:val="22"/>
          <w:szCs w:val="22"/>
          <w:bdr w:val="none" w:sz="0" w:space="0" w:color="auto" w:frame="1"/>
        </w:rPr>
        <w:t>location, construction, and design of underground ovens</w:t>
      </w:r>
      <w:r w:rsidRPr="00480346">
        <w:rPr>
          <w:rFonts w:ascii="Calibri" w:hAnsi="Calibri" w:cs="Calibri"/>
          <w:color w:val="000000"/>
          <w:sz w:val="22"/>
          <w:szCs w:val="22"/>
          <w:bdr w:val="none" w:sz="0" w:space="0" w:color="auto" w:frame="1"/>
        </w:rPr>
        <w:t>, including considerations for safe siting, appropriate selection of heating materials, and preparation of plant materials used in layering and cooking. </w:t>
      </w:r>
    </w:p>
    <w:p w14:paraId="477AEC0A"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Detailed guidance will be provided on </w:t>
      </w:r>
      <w:r w:rsidRPr="00480346">
        <w:rPr>
          <w:rFonts w:ascii="Calibri" w:hAnsi="Calibri" w:cs="Calibri"/>
          <w:b/>
          <w:bCs/>
          <w:color w:val="000000"/>
          <w:sz w:val="22"/>
          <w:szCs w:val="22"/>
          <w:bdr w:val="none" w:sz="0" w:space="0" w:color="auto" w:frame="1"/>
        </w:rPr>
        <w:t>food preparation and handling</w:t>
      </w:r>
      <w:r w:rsidRPr="00480346">
        <w:rPr>
          <w:rFonts w:ascii="Calibri" w:hAnsi="Calibri" w:cs="Calibri"/>
          <w:color w:val="000000"/>
          <w:sz w:val="22"/>
          <w:szCs w:val="22"/>
          <w:bdr w:val="none" w:sz="0" w:space="0" w:color="auto" w:frame="1"/>
        </w:rPr>
        <w:t>, including sourcing of raw materials, prevention of contamination, safe handling of plant materials used for wrapping or insulation, and preparation steps such as thawing and washing of foods.</w:t>
      </w:r>
    </w:p>
    <w:p w14:paraId="51BE1ED6"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Code will further address </w:t>
      </w:r>
      <w:r w:rsidRPr="00480346">
        <w:rPr>
          <w:rFonts w:ascii="Calibri" w:hAnsi="Calibri" w:cs="Calibri"/>
          <w:b/>
          <w:bCs/>
          <w:color w:val="000000"/>
          <w:sz w:val="22"/>
          <w:szCs w:val="22"/>
          <w:bdr w:val="none" w:sz="0" w:space="0" w:color="auto" w:frame="1"/>
        </w:rPr>
        <w:t>cooking practices</w:t>
      </w:r>
      <w:r w:rsidRPr="00480346">
        <w:rPr>
          <w:rFonts w:ascii="Calibri" w:hAnsi="Calibri" w:cs="Calibri"/>
          <w:color w:val="000000"/>
          <w:sz w:val="22"/>
          <w:szCs w:val="22"/>
          <w:bdr w:val="none" w:sz="0" w:space="0" w:color="auto" w:frame="1"/>
        </w:rPr>
        <w:t>, including the generation and maintenance of adequate heat, appropriate staging and layering of food within the oven, and considerations for achieving effective heat transfer. It will also emphasize the importance of process planning, given that adjustments cannot be made once the oven is sealed. </w:t>
      </w:r>
    </w:p>
    <w:p w14:paraId="05B1E478"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Provisions will also be included for </w:t>
      </w:r>
      <w:r w:rsidRPr="00480346">
        <w:rPr>
          <w:rFonts w:ascii="Calibri" w:hAnsi="Calibri" w:cs="Calibri"/>
          <w:b/>
          <w:bCs/>
          <w:color w:val="000000"/>
          <w:sz w:val="22"/>
          <w:szCs w:val="22"/>
          <w:bdr w:val="none" w:sz="0" w:space="0" w:color="auto" w:frame="1"/>
        </w:rPr>
        <w:t>post-cooking handling</w:t>
      </w:r>
      <w:r w:rsidRPr="00480346">
        <w:rPr>
          <w:rFonts w:ascii="Calibri" w:hAnsi="Calibri" w:cs="Calibri"/>
          <w:color w:val="000000"/>
          <w:sz w:val="22"/>
          <w:szCs w:val="22"/>
          <w:bdr w:val="none" w:sz="0" w:space="0" w:color="auto" w:frame="1"/>
        </w:rPr>
        <w:t>, including safe removal of covering materials, prevention of contamination from soil or ash, and appropriate temperature control during holding and serving. </w:t>
      </w:r>
    </w:p>
    <w:p w14:paraId="14967237"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Finally, the Code will address </w:t>
      </w:r>
      <w:r w:rsidRPr="00480346">
        <w:rPr>
          <w:rFonts w:ascii="Calibri" w:hAnsi="Calibri" w:cs="Calibri"/>
          <w:b/>
          <w:bCs/>
          <w:color w:val="000000"/>
          <w:sz w:val="22"/>
          <w:szCs w:val="22"/>
          <w:bdr w:val="none" w:sz="0" w:space="0" w:color="auto" w:frame="1"/>
        </w:rPr>
        <w:t>education, training, and risk communication</w:t>
      </w:r>
      <w:r w:rsidRPr="00480346">
        <w:rPr>
          <w:rFonts w:ascii="Calibri" w:hAnsi="Calibri" w:cs="Calibri"/>
          <w:color w:val="000000"/>
          <w:sz w:val="22"/>
          <w:szCs w:val="22"/>
          <w:bdr w:val="none" w:sz="0" w:space="0" w:color="auto" w:frame="1"/>
        </w:rPr>
        <w:t>, including the need for food safety training adapted to these practices and communication of residual risks, particularly for vulnerable populations.</w:t>
      </w:r>
    </w:p>
    <w:p w14:paraId="5750AE9B" w14:textId="77777777" w:rsidR="00480346" w:rsidRPr="00480346" w:rsidRDefault="00480346" w:rsidP="00480346">
      <w:pPr>
        <w:pStyle w:val="Heading1"/>
      </w:pPr>
      <w:bookmarkStart w:id="4" w:name="_Toc225169291"/>
      <w:r w:rsidRPr="00480346">
        <w:t>4. Assessment Against the Criteria for the Establishment of Work Priorities</w:t>
      </w:r>
      <w:bookmarkEnd w:id="4"/>
    </w:p>
    <w:p w14:paraId="4D475D54"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development of a Code of Hygienic Practice for underground cooking meets the general criteria for new work under Codex.</w:t>
      </w:r>
    </w:p>
    <w:p w14:paraId="45D4445E"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From a consumer protection perspective, the variability inherent in underground cooking practices presents potential risks related to inadequate cooking, contamination, and improper handling. The absence of structured guidance increases the likelihood of foodborne hazards. The proposed Code will contribute to mitigating these risks by providing practical and accessible hygiene measures adapted to the context of use.</w:t>
      </w:r>
    </w:p>
    <w:p w14:paraId="7B4FB6B7"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From the perspective of fair practices in food trade, the increasing commercialization of traditional cooking methods—particularly within tourism and hospitality sectors—creates a need for harmonized guidance to ensure consistent safety standards and consumer confidence.</w:t>
      </w:r>
    </w:p>
    <w:p w14:paraId="3C219240"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With regard to criteria applicable to the practice, underground cooking is widely used across the region, both for subsistence and commercial purposes. Despite this widespread use, there is currently no harmonized regulatory or guidance framework addressing these practices at the regional or international level.</w:t>
      </w:r>
    </w:p>
    <w:p w14:paraId="6EF4802E"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practice is amenable to standardization, as it involves identifiable and reproducible steps—such as pit preparation, heating, layering, and cooking—each of which presents opportunities for the application of hygiene controls.</w:t>
      </w:r>
    </w:p>
    <w:p w14:paraId="34E66A3C"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While some national-level guidance may exist, no Codex text specifically addresses underground cooking, confirming the existence of a gap at the regional level.</w:t>
      </w:r>
    </w:p>
    <w:p w14:paraId="695DA894" w14:textId="77777777" w:rsidR="00480346" w:rsidRPr="00480346" w:rsidRDefault="00480346" w:rsidP="00480346">
      <w:pPr>
        <w:pStyle w:val="Heading1"/>
      </w:pPr>
      <w:bookmarkStart w:id="5" w:name="_Toc225169292"/>
      <w:r w:rsidRPr="00480346">
        <w:t>5. Relevance to Codex Strategic Objectives</w:t>
      </w:r>
      <w:bookmarkEnd w:id="5"/>
    </w:p>
    <w:p w14:paraId="49191659"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proposed work aligns with the </w:t>
      </w:r>
      <w:r w:rsidRPr="00480346">
        <w:rPr>
          <w:rFonts w:ascii="Calibri" w:hAnsi="Calibri" w:cs="Calibri"/>
          <w:b/>
          <w:bCs/>
          <w:color w:val="000000"/>
          <w:sz w:val="22"/>
          <w:szCs w:val="22"/>
          <w:bdr w:val="none" w:sz="0" w:space="0" w:color="auto" w:frame="1"/>
        </w:rPr>
        <w:t>Codex Strategic Plan (2020–2025)</w:t>
      </w:r>
      <w:r w:rsidRPr="00480346">
        <w:rPr>
          <w:rFonts w:ascii="Calibri" w:hAnsi="Calibri" w:cs="Calibri"/>
          <w:color w:val="000000"/>
          <w:sz w:val="22"/>
          <w:szCs w:val="22"/>
          <w:bdr w:val="none" w:sz="0" w:space="0" w:color="auto" w:frame="1"/>
        </w:rPr>
        <w:t>.</w:t>
      </w:r>
    </w:p>
    <w:p w14:paraId="627B3357"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lastRenderedPageBreak/>
        <w:t>It contributes to </w:t>
      </w:r>
      <w:r w:rsidRPr="00480346">
        <w:rPr>
          <w:rFonts w:ascii="Calibri" w:hAnsi="Calibri" w:cs="Calibri"/>
          <w:b/>
          <w:bCs/>
          <w:color w:val="000000"/>
          <w:sz w:val="22"/>
          <w:szCs w:val="22"/>
          <w:bdr w:val="none" w:sz="0" w:space="0" w:color="auto" w:frame="1"/>
        </w:rPr>
        <w:t>Goal 1</w:t>
      </w:r>
      <w:r w:rsidRPr="00480346">
        <w:rPr>
          <w:rFonts w:ascii="Calibri" w:hAnsi="Calibri" w:cs="Calibri"/>
          <w:color w:val="000000"/>
          <w:sz w:val="22"/>
          <w:szCs w:val="22"/>
          <w:bdr w:val="none" w:sz="0" w:space="0" w:color="auto" w:frame="1"/>
        </w:rPr>
        <w:t>, by addressing an emerging and regionally significant food safety issue linked to traditional and informal food preparation practices.</w:t>
      </w:r>
    </w:p>
    <w:p w14:paraId="2170D3E1" w14:textId="4B8CC639"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It supports </w:t>
      </w:r>
      <w:r w:rsidRPr="00480346">
        <w:rPr>
          <w:rFonts w:ascii="Calibri" w:hAnsi="Calibri" w:cs="Calibri"/>
          <w:b/>
          <w:bCs/>
          <w:color w:val="000000"/>
          <w:sz w:val="22"/>
          <w:szCs w:val="22"/>
          <w:bdr w:val="none" w:sz="0" w:space="0" w:color="auto" w:frame="1"/>
        </w:rPr>
        <w:t>Goal 2</w:t>
      </w:r>
      <w:r w:rsidRPr="00480346">
        <w:rPr>
          <w:rFonts w:ascii="Calibri" w:hAnsi="Calibri" w:cs="Calibri"/>
          <w:color w:val="000000"/>
          <w:sz w:val="22"/>
          <w:szCs w:val="22"/>
          <w:bdr w:val="none" w:sz="0" w:space="0" w:color="auto" w:frame="1"/>
        </w:rPr>
        <w:t>, as it is based on available scientific observations and risk considerations related to temperature variability and microbiological hazards.</w:t>
      </w:r>
    </w:p>
    <w:p w14:paraId="007D2074"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It advances </w:t>
      </w:r>
      <w:r w:rsidRPr="00480346">
        <w:rPr>
          <w:rFonts w:ascii="Calibri" w:hAnsi="Calibri" w:cs="Calibri"/>
          <w:b/>
          <w:bCs/>
          <w:color w:val="000000"/>
          <w:sz w:val="22"/>
          <w:szCs w:val="22"/>
          <w:bdr w:val="none" w:sz="0" w:space="0" w:color="auto" w:frame="1"/>
        </w:rPr>
        <w:t>Goal 3</w:t>
      </w:r>
      <w:r w:rsidRPr="00480346">
        <w:rPr>
          <w:rFonts w:ascii="Calibri" w:hAnsi="Calibri" w:cs="Calibri"/>
          <w:color w:val="000000"/>
          <w:sz w:val="22"/>
          <w:szCs w:val="22"/>
          <w:bdr w:val="none" w:sz="0" w:space="0" w:color="auto" w:frame="1"/>
        </w:rPr>
        <w:t>, by promoting the development and use of Codex guidance that is directly relevant to member countries and adapted to their specific needs.</w:t>
      </w:r>
    </w:p>
    <w:p w14:paraId="5B52C114"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More broadly, the proposed Code supports capacity building, strengthens food safety systems, and contributes to the sustainable development of culturally significant food practices.</w:t>
      </w:r>
    </w:p>
    <w:p w14:paraId="18D220AB" w14:textId="77777777" w:rsidR="00480346" w:rsidRPr="00480346" w:rsidRDefault="00480346" w:rsidP="00480346">
      <w:pPr>
        <w:pStyle w:val="Heading1"/>
      </w:pPr>
      <w:bookmarkStart w:id="6" w:name="_Toc225169293"/>
      <w:r w:rsidRPr="00480346">
        <w:t>6. Relationship with Existing Codex Documents</w:t>
      </w:r>
      <w:bookmarkEnd w:id="6"/>
    </w:p>
    <w:p w14:paraId="503BF2EC"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proposed Code will complement and build upon existing Codex texts, particularly:</w:t>
      </w:r>
    </w:p>
    <w:p w14:paraId="26E3276B" w14:textId="77777777" w:rsidR="00480346" w:rsidRPr="00480346" w:rsidRDefault="00480346" w:rsidP="00480346">
      <w:pPr>
        <w:pStyle w:val="xmsonormal"/>
        <w:numPr>
          <w:ilvl w:val="0"/>
          <w:numId w:val="41"/>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General Principles of Food Hygiene (CXC 1-1969),</w:t>
      </w:r>
    </w:p>
    <w:p w14:paraId="736C0BFC" w14:textId="77777777" w:rsidR="00480346" w:rsidRPr="00480346" w:rsidRDefault="00480346" w:rsidP="00480346">
      <w:pPr>
        <w:pStyle w:val="xmsonormal"/>
        <w:numPr>
          <w:ilvl w:val="0"/>
          <w:numId w:val="41"/>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General Standard for Contaminants and Toxins in Food and Feed (CXS 193-1995),</w:t>
      </w:r>
    </w:p>
    <w:p w14:paraId="1314B3C4" w14:textId="77777777" w:rsidR="00480346" w:rsidRPr="00480346" w:rsidRDefault="00480346" w:rsidP="00480346">
      <w:pPr>
        <w:pStyle w:val="xmsonormal"/>
        <w:numPr>
          <w:ilvl w:val="0"/>
          <w:numId w:val="41"/>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Principles and Guidelines for the Establishment and Application of Microbiological Criteria Related to Foods (CXG 21-1997),</w:t>
      </w:r>
    </w:p>
    <w:p w14:paraId="1C412B5D"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It will provide </w:t>
      </w:r>
      <w:r w:rsidRPr="00480346">
        <w:rPr>
          <w:rFonts w:ascii="Calibri" w:hAnsi="Calibri" w:cs="Calibri"/>
          <w:b/>
          <w:bCs/>
          <w:color w:val="000000"/>
          <w:sz w:val="22"/>
          <w:szCs w:val="22"/>
          <w:bdr w:val="none" w:sz="0" w:space="0" w:color="auto" w:frame="1"/>
        </w:rPr>
        <w:t>specific interpretation and application</w:t>
      </w:r>
      <w:r w:rsidRPr="00480346">
        <w:rPr>
          <w:rFonts w:ascii="Calibri" w:hAnsi="Calibri" w:cs="Calibri"/>
          <w:color w:val="000000"/>
          <w:sz w:val="22"/>
          <w:szCs w:val="22"/>
          <w:bdr w:val="none" w:sz="0" w:space="0" w:color="auto" w:frame="1"/>
        </w:rPr>
        <w:t> of these general principles to underground oven cooking practices.</w:t>
      </w:r>
    </w:p>
    <w:p w14:paraId="4CA2CAB0" w14:textId="77777777" w:rsidR="00480346" w:rsidRPr="00480346" w:rsidRDefault="00480346" w:rsidP="00480346">
      <w:pPr>
        <w:pStyle w:val="Heading1"/>
      </w:pPr>
      <w:bookmarkStart w:id="7" w:name="_Toc225169294"/>
      <w:r w:rsidRPr="00480346">
        <w:t>7. Identification of Any Requirement for Scientific Advice and / or Technical Input from Other Bodies</w:t>
      </w:r>
      <w:bookmarkEnd w:id="7"/>
    </w:p>
    <w:p w14:paraId="1C469BDB"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There are no immediate needs for scientific advice.</w:t>
      </w:r>
    </w:p>
    <w:p w14:paraId="5BD5D2D6"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proposed code will be informed by the latest scientific and best practices information, sought from regional public health and food safety authorities, Academic and research institutions and Relevant stakeholders in tourism and food service sectors.</w:t>
      </w:r>
    </w:p>
    <w:p w14:paraId="35063103" w14:textId="27B8FAFC"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However</w:t>
      </w:r>
      <w:r>
        <w:rPr>
          <w:rFonts w:ascii="Calibri" w:hAnsi="Calibri" w:cs="Calibri"/>
          <w:color w:val="000000"/>
          <w:sz w:val="22"/>
          <w:szCs w:val="22"/>
          <w:bdr w:val="none" w:sz="0" w:space="0" w:color="auto" w:frame="1"/>
        </w:rPr>
        <w:t xml:space="preserve">, </w:t>
      </w:r>
      <w:r w:rsidRPr="00480346">
        <w:rPr>
          <w:rFonts w:ascii="Calibri" w:hAnsi="Calibri" w:cs="Calibri"/>
          <w:color w:val="000000"/>
          <w:sz w:val="22"/>
          <w:szCs w:val="22"/>
          <w:bdr w:val="none" w:sz="0" w:space="0" w:color="auto" w:frame="1"/>
        </w:rPr>
        <w:t>the proposed draft could be forwarded to CCFH for review and validation, as may warranted</w:t>
      </w:r>
    </w:p>
    <w:p w14:paraId="29A76489" w14:textId="77777777" w:rsidR="00480346" w:rsidRPr="00480346" w:rsidRDefault="00480346" w:rsidP="00480346">
      <w:pPr>
        <w:pStyle w:val="Heading1"/>
      </w:pPr>
      <w:bookmarkStart w:id="8" w:name="_Toc225169295"/>
      <w:r w:rsidRPr="00480346">
        <w:t>8. Proposed Approach and Timeline</w:t>
      </w:r>
      <w:bookmarkEnd w:id="8"/>
    </w:p>
    <w:p w14:paraId="15C89325" w14:textId="77777777" w:rsidR="00480346" w:rsidRPr="00480346" w:rsidRDefault="00480346" w:rsidP="00480346">
      <w:pPr>
        <w:pStyle w:val="xmsonormal"/>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Subject to approval of new work, it is proposed that:</w:t>
      </w:r>
    </w:p>
    <w:p w14:paraId="4AC1AED5" w14:textId="77777777" w:rsidR="00480346" w:rsidRPr="00480346" w:rsidRDefault="00480346" w:rsidP="00480346">
      <w:pPr>
        <w:pStyle w:val="xmsonormal"/>
        <w:numPr>
          <w:ilvl w:val="0"/>
          <w:numId w:val="42"/>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An Electronic Working Group (EWG) be established,</w:t>
      </w:r>
    </w:p>
    <w:p w14:paraId="035D0AA8" w14:textId="77777777" w:rsidR="00480346" w:rsidRPr="00480346" w:rsidRDefault="00480346" w:rsidP="00480346">
      <w:pPr>
        <w:pStyle w:val="xmsonormal"/>
        <w:numPr>
          <w:ilvl w:val="0"/>
          <w:numId w:val="42"/>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A draft Code be developed over one intersessional periods,</w:t>
      </w:r>
    </w:p>
    <w:p w14:paraId="236E8A60" w14:textId="77777777" w:rsidR="00480346" w:rsidRPr="00480346" w:rsidRDefault="00480346" w:rsidP="00480346">
      <w:pPr>
        <w:pStyle w:val="xmsonormal"/>
        <w:numPr>
          <w:ilvl w:val="0"/>
          <w:numId w:val="42"/>
        </w:numPr>
        <w:shd w:val="clear" w:color="auto" w:fill="FFFFFF"/>
        <w:spacing w:before="120" w:beforeAutospacing="0" w:after="120" w:afterAutospacing="0" w:line="300" w:lineRule="auto"/>
        <w:rPr>
          <w:rFonts w:ascii="Calibri" w:hAnsi="Calibri" w:cs="Calibri"/>
          <w:color w:val="000000"/>
          <w:sz w:val="22"/>
          <w:szCs w:val="22"/>
        </w:rPr>
      </w:pPr>
      <w:r w:rsidRPr="00480346">
        <w:rPr>
          <w:rFonts w:ascii="Calibri" w:hAnsi="Calibri" w:cs="Calibri"/>
          <w:color w:val="000000"/>
          <w:sz w:val="22"/>
          <w:szCs w:val="22"/>
          <w:bdr w:val="none" w:sz="0" w:space="0" w:color="auto" w:frame="1"/>
        </w:rPr>
        <w:t>The draft be reviewed by CCNASWP and progressed for adoption within two sessions of CCNASWP</w:t>
      </w:r>
    </w:p>
    <w:p w14:paraId="61D26D76" w14:textId="1BDE2E3F" w:rsidR="00480346" w:rsidRPr="00480346" w:rsidRDefault="00480346" w:rsidP="00480346">
      <w:pPr>
        <w:pStyle w:val="Heading1"/>
      </w:pPr>
      <w:bookmarkStart w:id="9" w:name="_Toc225169296"/>
      <w:r>
        <w:t xml:space="preserve">9. </w:t>
      </w:r>
      <w:r w:rsidRPr="00480346">
        <w:t>Conclusion</w:t>
      </w:r>
      <w:bookmarkEnd w:id="9"/>
    </w:p>
    <w:p w14:paraId="63434D1F" w14:textId="7A0522C9" w:rsidR="00480346" w:rsidRDefault="00480346" w:rsidP="00480346">
      <w:pPr>
        <w:pStyle w:val="xmsonormal"/>
        <w:shd w:val="clear" w:color="auto" w:fill="FFFFFF"/>
        <w:spacing w:before="120" w:beforeAutospacing="0" w:after="120" w:afterAutospacing="0" w:line="300" w:lineRule="auto"/>
        <w:rPr>
          <w:rFonts w:ascii="Calibri" w:hAnsi="Calibri" w:cs="Calibri"/>
          <w:sz w:val="22"/>
          <w:szCs w:val="22"/>
        </w:rPr>
      </w:pPr>
      <w:r w:rsidRPr="00480346">
        <w:rPr>
          <w:rFonts w:ascii="Calibri" w:hAnsi="Calibri" w:cs="Calibri"/>
          <w:color w:val="000000"/>
          <w:sz w:val="22"/>
          <w:szCs w:val="22"/>
          <w:bdr w:val="none" w:sz="0" w:space="0" w:color="auto" w:frame="1"/>
        </w:rPr>
        <w:t>The development of a </w:t>
      </w:r>
      <w:r w:rsidRPr="00480346">
        <w:rPr>
          <w:rFonts w:ascii="Calibri" w:hAnsi="Calibri" w:cs="Calibri"/>
          <w:b/>
          <w:bCs/>
          <w:color w:val="000000"/>
          <w:sz w:val="22"/>
          <w:szCs w:val="22"/>
          <w:bdr w:val="none" w:sz="0" w:space="0" w:color="auto" w:frame="1"/>
        </w:rPr>
        <w:t>Regional Code of Hygienic Practice for Underground Cooking</w:t>
      </w:r>
      <w:r w:rsidRPr="00480346">
        <w:rPr>
          <w:rFonts w:ascii="Calibri" w:hAnsi="Calibri" w:cs="Calibri"/>
          <w:color w:val="000000"/>
          <w:sz w:val="22"/>
          <w:szCs w:val="22"/>
          <w:bdr w:val="none" w:sz="0" w:space="0" w:color="auto" w:frame="1"/>
        </w:rPr>
        <w:t> addresses a clearly identified gap in Codex guidance and responds directly to priorities expressed by CCNASWP members. It will support the safe continuation and responsible development of traditional cooking practices, strengthen food safety systems in the region, and contribute to the protection of public health while respecting cultural heritage.</w:t>
      </w:r>
      <w:r w:rsidRPr="00480346">
        <w:rPr>
          <w:rFonts w:ascii="Calibri" w:hAnsi="Calibri" w:cs="Calibri"/>
          <w:sz w:val="22"/>
          <w:szCs w:val="22"/>
        </w:rPr>
        <w:t xml:space="preserve"> </w:t>
      </w:r>
    </w:p>
    <w:p w14:paraId="321484B0" w14:textId="77777777" w:rsidR="00480346" w:rsidRDefault="00480346">
      <w:pPr>
        <w:rPr>
          <w:rFonts w:ascii="Calibri" w:hAnsi="Calibri" w:cs="Calibri"/>
          <w:sz w:val="22"/>
          <w:szCs w:val="22"/>
          <w:lang w:eastAsia="ko-KR"/>
        </w:rPr>
      </w:pPr>
      <w:r>
        <w:rPr>
          <w:rFonts w:ascii="Calibri" w:hAnsi="Calibri" w:cs="Calibri"/>
          <w:sz w:val="22"/>
          <w:szCs w:val="22"/>
        </w:rPr>
        <w:br w:type="page"/>
      </w:r>
    </w:p>
    <w:p w14:paraId="1E172C24" w14:textId="3A492BE6" w:rsidR="006628A5" w:rsidRDefault="00480346" w:rsidP="00480346">
      <w:pPr>
        <w:pStyle w:val="Heading1"/>
      </w:pPr>
      <w:bookmarkStart w:id="10" w:name="_Toc225169297"/>
      <w:r>
        <w:lastRenderedPageBreak/>
        <w:t xml:space="preserve">Annex: Regional Code of Hygienic Practice </w:t>
      </w:r>
      <w:r w:rsidRPr="00480346">
        <w:t>for Food Prepared in Underground Ovens</w:t>
      </w:r>
      <w:bookmarkEnd w:id="10"/>
      <w:r w:rsidRPr="00480346">
        <w:t xml:space="preserve">  </w:t>
      </w:r>
    </w:p>
    <w:p w14:paraId="1C0DE8E2" w14:textId="2FDD32C5" w:rsidR="000B4B6F" w:rsidRPr="000B4B6F" w:rsidRDefault="000B4B6F" w:rsidP="000B4B6F">
      <w:pPr>
        <w:spacing w:before="120" w:after="120" w:line="300" w:lineRule="auto"/>
        <w:rPr>
          <w:rFonts w:ascii="Calibri" w:hAnsi="Calibri" w:cs="Calibri"/>
          <w:b/>
          <w:bCs/>
          <w:sz w:val="22"/>
          <w:szCs w:val="22"/>
          <w:lang w:val="en-US"/>
        </w:rPr>
      </w:pPr>
      <w:r w:rsidRPr="000B4B6F">
        <w:rPr>
          <w:rFonts w:ascii="Calibri" w:hAnsi="Calibri" w:cs="Calibri"/>
          <w:b/>
          <w:bCs/>
          <w:sz w:val="22"/>
          <w:szCs w:val="22"/>
          <w:lang w:val="en-US"/>
        </w:rPr>
        <w:t>INTRODUCTION</w:t>
      </w:r>
    </w:p>
    <w:p w14:paraId="49AF7E74" w14:textId="294878E5"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Cooking food in underground ovens, also known as earth ovens, is an important tradition in different regions of the world. It often involves cooking large amounts of food (e.g., for gatherings) underground, using heated stones and layers of plant materials. In the Pacific Islands, depending on the region, this cooking method is referred to as hangi, imu, mumu, um, lovo, laplap, bunia, tuluk or other indigenous names. A wide variety of foods may be cooked in underground ovens, including meats (e.g., pork, chicken, fish), fruits (e.g., bananas, breadfruit), and vegetables (e.g., sweet potatoes, taro). Beyond its role in community gatherings, underground ovens are increasingly used by the hospitality industry to showcase local cuisine and culture among visitors. Therefore, hygiene guidance specific to underground oven cooking would help mitigate food safety risks, while preserving culturally appropriate practices.</w:t>
      </w:r>
    </w:p>
    <w:p w14:paraId="6C92F77D" w14:textId="1F8E224A"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t>SECTION 1 – OBJECTIVES</w:t>
      </w:r>
    </w:p>
    <w:p w14:paraId="307A8168" w14:textId="68B5BA11"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This Code outlines requirements and hygiene practices to be considered when cooking food in traditional underground ovens. </w:t>
      </w:r>
    </w:p>
    <w:p w14:paraId="6BDB76E8" w14:textId="64295B65"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t>SECTION 2 – SCOPE, USAGE AND DEFINITIONS</w:t>
      </w:r>
    </w:p>
    <w:p w14:paraId="310A1EAA" w14:textId="07CE56A0"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Scope</w:t>
      </w:r>
    </w:p>
    <w:p w14:paraId="592F27E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This Code may be applied by community groups and food business operators (FBOs) preparing foods in underground ovens, including organizers of events incorporating this traditional method, as well as relevant competent authorities.</w:t>
      </w:r>
    </w:p>
    <w:p w14:paraId="0BB24CF4" w14:textId="7D14B1DA"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Use</w:t>
      </w:r>
    </w:p>
    <w:p w14:paraId="5455C093"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This Code is intended for use by Pacific Island countries to ensure the overall safety of foods prepared in traditional underground ovens. This Code should be used in conjunction with relevant Codex texts, including but not limited to the General principles of food hygiene (CXC 1-1969).</w:t>
      </w:r>
    </w:p>
    <w:p w14:paraId="4C185D5A" w14:textId="6DBD7C50"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Definitions</w:t>
      </w:r>
    </w:p>
    <w:p w14:paraId="6A07E6FC"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For the purposes of this Code, the definitions specified in Codex documents shall apply. Other terms used herein have the following definitions:</w:t>
      </w:r>
    </w:p>
    <w:p w14:paraId="4C3546CF" w14:textId="246F07A0"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Underground oven: a traditional cooking method where food is placed over heated stones and plant material layers, inside a pit that is kept covered during the entire cooking time. Regional variations are possible including the use of heating materials other than stones (e.g., coral), different type and use (e.g., layering, food wrapping) of plant materials, and different oven designs.</w:t>
      </w:r>
    </w:p>
    <w:p w14:paraId="32EA574E" w14:textId="1130C5A9"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Plant materials: plant parts (e.g., leaves, stems, husks) used in an underground oven for purposes other than direct food consumption (e.g., layering inside the oven, oven insulation or covering, steam generation, food wrapping).</w:t>
      </w:r>
    </w:p>
    <w:p w14:paraId="7AD016BE" w14:textId="1F65D45A"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Clean: Free from dirt, dust, grease, waste, food residues as well as all other foreign materials and objectionable odor.</w:t>
      </w:r>
    </w:p>
    <w:p w14:paraId="7D1C6BE5" w14:textId="71C69805"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t>SECTION 3 – GENERAL REQUIREMENTS</w:t>
      </w:r>
    </w:p>
    <w:p w14:paraId="1178C03F" w14:textId="015FF6CA"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Rules and regulations</w:t>
      </w:r>
    </w:p>
    <w:p w14:paraId="36614D5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lastRenderedPageBreak/>
        <w:t>Appropriate policies and regulations should be formulated and implemented with the aim of guiding operations to ensure food safety during underground oven cooking. Such requirements should be elaborated either separately or incorporated into existing food regulations.</w:t>
      </w:r>
    </w:p>
    <w:p w14:paraId="047E59DE" w14:textId="7D3BACDC"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Licensing / registration</w:t>
      </w:r>
    </w:p>
    <w:p w14:paraId="229E6FE5"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Where required by the national legislation, FBOs serving or selling food prepared in an underground oven should have registration/licensing from the relevant authority before starting its use. </w:t>
      </w:r>
    </w:p>
    <w:p w14:paraId="72389298" w14:textId="598B628C"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If applicable, a fire permit should be obtained before setting up an underground oven. Fire-related restrictions and preventive measures must be observed when operating an underground oven.</w:t>
      </w:r>
    </w:p>
    <w:p w14:paraId="52677E0B" w14:textId="1F89A709"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t xml:space="preserve">SECTION 4 – FOOD HANDLERS </w:t>
      </w:r>
    </w:p>
    <w:p w14:paraId="039B72D8" w14:textId="02A76F70"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Health status</w:t>
      </w:r>
    </w:p>
    <w:p w14:paraId="2E66224C"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Food handlers should not show any signs of jaundice, diarrhea, vomiting, fever, sore throat, discharge from ear, eye and nose, frequent and rapid coughing, visibly infected skin lesions (boils, cuts, etc.). </w:t>
      </w:r>
    </w:p>
    <w:p w14:paraId="59F56B67" w14:textId="6CD88632"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Personal hygiene and behaviour</w:t>
      </w:r>
    </w:p>
    <w:p w14:paraId="3F59078B"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handlers, during the conduct of their business, should observe the following:</w:t>
      </w:r>
    </w:p>
    <w:p w14:paraId="55834267" w14:textId="2149DD0F"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Wear clean clothing and proper clothing</w:t>
      </w:r>
      <w:r>
        <w:rPr>
          <w:rFonts w:ascii="Calibri" w:hAnsi="Calibri" w:cs="Calibri"/>
          <w:sz w:val="22"/>
          <w:szCs w:val="22"/>
          <w:lang w:val="en-US"/>
        </w:rPr>
        <w:t>.</w:t>
      </w:r>
    </w:p>
    <w:p w14:paraId="27973A44" w14:textId="29B25600"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Always keep fingernails short and clean</w:t>
      </w:r>
      <w:r>
        <w:rPr>
          <w:rFonts w:ascii="Calibri" w:hAnsi="Calibri" w:cs="Calibri"/>
          <w:sz w:val="22"/>
          <w:szCs w:val="22"/>
          <w:lang w:val="en-US"/>
        </w:rPr>
        <w:t>.</w:t>
      </w:r>
    </w:p>
    <w:p w14:paraId="6FA31C2A" w14:textId="399A17C4"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Do not wear jewellery, ornaments, or similar items during food preparation</w:t>
      </w:r>
      <w:r>
        <w:rPr>
          <w:rFonts w:ascii="Calibri" w:hAnsi="Calibri" w:cs="Calibri"/>
          <w:sz w:val="22"/>
          <w:szCs w:val="22"/>
          <w:lang w:val="en-US"/>
        </w:rPr>
        <w:t>.</w:t>
      </w:r>
    </w:p>
    <w:p w14:paraId="5F7C72D0" w14:textId="678E84E8"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Keep hair, including facial hair, clean, tidy, and properly covered during food handling</w:t>
      </w:r>
      <w:r>
        <w:rPr>
          <w:rFonts w:ascii="Calibri" w:hAnsi="Calibri" w:cs="Calibri"/>
          <w:sz w:val="22"/>
          <w:szCs w:val="22"/>
          <w:lang w:val="en-US"/>
        </w:rPr>
        <w:t>.</w:t>
      </w:r>
    </w:p>
    <w:p w14:paraId="444D83A2" w14:textId="618D95CA"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Cover all non-infected cuts and wounds completely with a firmly secured, waterproof dressing that is routinely changed</w:t>
      </w:r>
      <w:r>
        <w:rPr>
          <w:rFonts w:ascii="Calibri" w:hAnsi="Calibri" w:cs="Calibri"/>
          <w:sz w:val="22"/>
          <w:szCs w:val="22"/>
          <w:lang w:val="en-US"/>
        </w:rPr>
        <w:t>.</w:t>
      </w:r>
    </w:p>
    <w:p w14:paraId="6CBFB12B" w14:textId="0FB85A9A"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Wear disposable gloves where necessary; gloves must be clean and properly used</w:t>
      </w:r>
      <w:r>
        <w:rPr>
          <w:rFonts w:ascii="Calibri" w:hAnsi="Calibri" w:cs="Calibri"/>
          <w:sz w:val="22"/>
          <w:szCs w:val="22"/>
          <w:lang w:val="en-US"/>
        </w:rPr>
        <w:t>.</w:t>
      </w:r>
    </w:p>
    <w:p w14:paraId="10FCBE3A" w14:textId="305FCE1F"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Wash hands thoroughly with soap and running clean water before and after handling food, after visiting the toilet, after handling unsanitary articles, touching animals, touching raw food, after handling toxic and dangerous materials as and when necessary. If running clean water is not available, an acceptable alternative hand-washing method should be agreed to by the relevant authority</w:t>
      </w:r>
      <w:r>
        <w:rPr>
          <w:rFonts w:ascii="Calibri" w:hAnsi="Calibri" w:cs="Calibri"/>
          <w:sz w:val="22"/>
          <w:szCs w:val="22"/>
          <w:lang w:val="en-US"/>
        </w:rPr>
        <w:t>.</w:t>
      </w:r>
    </w:p>
    <w:p w14:paraId="4B1A776F" w14:textId="667344D7"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Do not smoke, chew gum, eat, or engage in similar activities while preparing or serving food</w:t>
      </w:r>
      <w:r>
        <w:rPr>
          <w:rFonts w:ascii="Calibri" w:hAnsi="Calibri" w:cs="Calibri"/>
          <w:sz w:val="22"/>
          <w:szCs w:val="22"/>
          <w:lang w:val="en-US"/>
        </w:rPr>
        <w:t>.</w:t>
      </w:r>
    </w:p>
    <w:p w14:paraId="5164B849" w14:textId="6F24D42E"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Refrain from unhygienic practices such as spitting, cleaning or picking the nose, ears, or other body orifices, touching any part of the body unnecessarily while handling food, sneezing or coughing over or onto food</w:t>
      </w:r>
      <w:r>
        <w:rPr>
          <w:rFonts w:ascii="Calibri" w:hAnsi="Calibri" w:cs="Calibri"/>
          <w:sz w:val="22"/>
          <w:szCs w:val="22"/>
          <w:lang w:val="en-US"/>
        </w:rPr>
        <w:t>.</w:t>
      </w:r>
    </w:p>
    <w:p w14:paraId="1FFEB5FE" w14:textId="72ECCE03" w:rsidR="000B4B6F" w:rsidRPr="000B4B6F" w:rsidRDefault="000B4B6F" w:rsidP="000B4B6F">
      <w:pPr>
        <w:pStyle w:val="ListParagraph"/>
        <w:numPr>
          <w:ilvl w:val="0"/>
          <w:numId w:val="46"/>
        </w:numPr>
        <w:spacing w:before="120" w:after="120" w:line="300" w:lineRule="auto"/>
        <w:ind w:left="720" w:hanging="360"/>
        <w:contextualSpacing w:val="0"/>
        <w:rPr>
          <w:rFonts w:ascii="Calibri" w:hAnsi="Calibri" w:cs="Calibri"/>
          <w:sz w:val="22"/>
          <w:szCs w:val="22"/>
          <w:lang w:val="en-US"/>
        </w:rPr>
      </w:pPr>
      <w:r w:rsidRPr="000B4B6F">
        <w:rPr>
          <w:rFonts w:ascii="Calibri" w:hAnsi="Calibri" w:cs="Calibri"/>
          <w:sz w:val="22"/>
          <w:szCs w:val="22"/>
          <w:lang w:val="en-US"/>
        </w:rPr>
        <w:t>Wear fire safety gear (e.g., gloves, boots, aprons) when starting, monitoring, or opening the underground oven</w:t>
      </w:r>
      <w:r>
        <w:rPr>
          <w:rFonts w:ascii="Calibri" w:hAnsi="Calibri" w:cs="Calibri"/>
          <w:sz w:val="22"/>
          <w:szCs w:val="22"/>
          <w:lang w:val="en-US"/>
        </w:rPr>
        <w:t>.</w:t>
      </w:r>
    </w:p>
    <w:p w14:paraId="05C2E51C" w14:textId="494DCC2A"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Training and competence</w:t>
      </w:r>
    </w:p>
    <w:p w14:paraId="3D545276"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handlers should have completed basic food hygiene training by the competent authority or other institution recognized or approved by the competent authority.</w:t>
      </w:r>
    </w:p>
    <w:p w14:paraId="4E13CB0A" w14:textId="04EB3BEC"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FBOs responsibilities</w:t>
      </w:r>
    </w:p>
    <w:p w14:paraId="4A844DAA" w14:textId="01A8391D"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FBOs are responsible for the hygiene and protection of the food they handle and for all aspects related to its safety.</w:t>
      </w:r>
    </w:p>
    <w:p w14:paraId="58CACC11" w14:textId="750FECAB"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lastRenderedPageBreak/>
        <w:t>SECTION 5 – LOCATION, STRUCTURES, DESIGN AND SANITATION</w:t>
      </w:r>
    </w:p>
    <w:p w14:paraId="03AFD568" w14:textId="65009722"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Underground oven location</w:t>
      </w:r>
    </w:p>
    <w:p w14:paraId="6B3BAF50"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The location of the underground oven should be at least 5 meters  away from buildings, tents, vehicles, dry grass, overarching branches, waste, standing water, or animals.</w:t>
      </w:r>
    </w:p>
    <w:p w14:paraId="63CEA42C" w14:textId="6337A71B"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Food preparation structures</w:t>
      </w:r>
    </w:p>
    <w:p w14:paraId="795E4E2D"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preparation areas should have sufficient lighting.</w:t>
      </w:r>
    </w:p>
    <w:p w14:paraId="31EA17D9"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contact surfaces should be made of a smooth and impermeable food grade material.</w:t>
      </w:r>
    </w:p>
    <w:p w14:paraId="7CA1B147"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All food preparation areas, washing equipment, working tables, shelves on or in which food is placed should be at an appropriate height above the ground.</w:t>
      </w:r>
    </w:p>
    <w:p w14:paraId="487D037C" w14:textId="6AFAFCF2"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Underground oven design and layout</w:t>
      </w:r>
    </w:p>
    <w:p w14:paraId="3B68FD5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The dimensions of the oven (depth and diameter) should be adapted to the amount and type of food that will be cooked. </w:t>
      </w:r>
    </w:p>
    <w:p w14:paraId="45CAE4FE"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The type of stones used is essential to ensure adequate heat generation and transfer throughout the cooking process. Stones that may contain moisture (e.g., porous rocks like limestone) should be avoided, as they may explode when heated. For even heat distribution, the stones used should be of similar size (e.g., the size of a closed fist or larger). </w:t>
      </w:r>
    </w:p>
    <w:p w14:paraId="13BFB294"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Enough stones to heat the amount of food that will be cooked, and enough firewood to heat the stones, should be readily available before setting up the underground oven .</w:t>
      </w:r>
    </w:p>
    <w:p w14:paraId="3C328420"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Thick plant materials (e.g., banana stumps, coconut husks) that will be used in the underground oven’s layers should be cut and/or pounded (to release moisture and facilitate steam production) in advance, such that they are ready to be placed in the oven as soon as the stones reach their maximum heat level.</w:t>
      </w:r>
    </w:p>
    <w:p w14:paraId="77054F73" w14:textId="1871CC34"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Sanitation</w:t>
      </w:r>
    </w:p>
    <w:p w14:paraId="17715AF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Wastewater, ash, and organic waste should be disposed of safely and away from food preparation zones.</w:t>
      </w:r>
    </w:p>
    <w:p w14:paraId="4CE068D3" w14:textId="21E69226" w:rsidR="000B4B6F" w:rsidRPr="000B4B6F" w:rsidRDefault="000B4B6F" w:rsidP="000B4B6F">
      <w:pPr>
        <w:pStyle w:val="ListParagraph"/>
        <w:numPr>
          <w:ilvl w:val="2"/>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Water supply</w:t>
      </w:r>
    </w:p>
    <w:p w14:paraId="7CB3C200" w14:textId="2791278F"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Food preparation areas should have sufficient supply of potable or clean water. </w:t>
      </w:r>
    </w:p>
    <w:p w14:paraId="1726653A"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Where possible, a clean hand-washing station with flowing water, soap and sanitary towels should be available near the underground oven.</w:t>
      </w:r>
    </w:p>
    <w:p w14:paraId="370612D9"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Water to put out the underground oven’s fire, if it escapes control, should be readily available near the pit (e.g., a hose connected to the tap, containers with water). A fire extinguisher should also be kept nearby, where possible. </w:t>
      </w:r>
    </w:p>
    <w:p w14:paraId="76093B9D" w14:textId="7A468B25" w:rsidR="000B4B6F" w:rsidRPr="000B4B6F" w:rsidRDefault="000B4B6F" w:rsidP="000B4B6F">
      <w:pPr>
        <w:pStyle w:val="ListParagraph"/>
        <w:numPr>
          <w:ilvl w:val="2"/>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Pest control</w:t>
      </w:r>
    </w:p>
    <w:p w14:paraId="5510EFBB"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Measures should be taken to keep the food preparation and underground oven areas free from animals and pests to prevent contamination of the food. Any contaminated food should be appropriately disposed of.</w:t>
      </w:r>
    </w:p>
    <w:p w14:paraId="7D46C518" w14:textId="4CBC1055" w:rsidR="000B4B6F" w:rsidRPr="000B4B6F" w:rsidRDefault="000B4B6F" w:rsidP="000B4B6F">
      <w:pPr>
        <w:pStyle w:val="ListParagraph"/>
        <w:numPr>
          <w:ilvl w:val="2"/>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Toilets</w:t>
      </w:r>
    </w:p>
    <w:p w14:paraId="27DBD095"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Personnel should have easy access to sanitary facilities, which are always kept in a clean and operational condition.</w:t>
      </w:r>
    </w:p>
    <w:p w14:paraId="36DDB8E0" w14:textId="77777777" w:rsidR="000B4B6F" w:rsidRPr="000B4B6F" w:rsidRDefault="000B4B6F" w:rsidP="000B4B6F">
      <w:pPr>
        <w:spacing w:before="120" w:after="120" w:line="300" w:lineRule="auto"/>
        <w:rPr>
          <w:rFonts w:ascii="Calibri" w:hAnsi="Calibri" w:cs="Calibri"/>
          <w:sz w:val="22"/>
          <w:szCs w:val="22"/>
          <w:lang w:val="en-US"/>
        </w:rPr>
      </w:pPr>
    </w:p>
    <w:p w14:paraId="1A5CE6A2" w14:textId="366B3058"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lastRenderedPageBreak/>
        <w:t>SECTION 6 – FOOD PREPARATION, HANDLING, AND STORAGE</w:t>
      </w:r>
    </w:p>
    <w:p w14:paraId="547A2388" w14:textId="5E3EB148"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Raw materials</w:t>
      </w:r>
    </w:p>
    <w:p w14:paraId="780E63BA"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 xml:space="preserve">All raw food materials and ingredients, including ice, should be sourced from appropriate and reliable sources. </w:t>
      </w:r>
    </w:p>
    <w:p w14:paraId="5B14D8F2" w14:textId="06A75A4A"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Ice should be made of potable water. Where appropriate, ice that does not come in direct contact with food may be made from clean water.</w:t>
      </w:r>
    </w:p>
    <w:p w14:paraId="49D397DA"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Non-edible plant materials collected for use in the underground oven (e.g., for layering) must be, at a minimum, free of visible contamination.</w:t>
      </w:r>
    </w:p>
    <w:p w14:paraId="55755B2A"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contact materials, including plant materials used for wrapping, should meet relevant food safety standards.</w:t>
      </w:r>
    </w:p>
    <w:p w14:paraId="68359633" w14:textId="4A03CDD1"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 xml:space="preserve">Cooking </w:t>
      </w:r>
    </w:p>
    <w:p w14:paraId="6AB9B60B"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Meats, fish and poultry must be completely thawed before placing them in the underground oven. Thawing must be conducted under controlled conditions (e.g., refrigeration, cold water).</w:t>
      </w:r>
    </w:p>
    <w:p w14:paraId="7189C698"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Fresh vegetables and/or fruits should be thoroughly washed in potable or clean water before cooking. They should be conditioned (e.g., chopped) as close as possible to the time of placement in the oven (e.g., less than 1 hour before).</w:t>
      </w:r>
    </w:p>
    <w:p w14:paraId="4D94A60F"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Raw meats should be held at refrigeration until placement in the oven.</w:t>
      </w:r>
    </w:p>
    <w:p w14:paraId="5AB37C9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must be covered or kept in closed containers until placement in the oven.</w:t>
      </w:r>
    </w:p>
    <w:p w14:paraId="32BEAED4"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Foods that will be cooked in the underground oven should be securely wrapped (e.g., in leaves, tinfoil) to prevent soil and ash from contaminating the product.</w:t>
      </w:r>
    </w:p>
    <w:p w14:paraId="5845C0EC"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The fire should be started with dry paper and firewood to reduce the amount of smoke and obtain a clean fire. Fire accelerants (e.g., gasoline, kerosene, lighter fluid), plastic, painted wood, treated timber must be avoided .</w:t>
      </w:r>
    </w:p>
    <w:p w14:paraId="070709A3"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The food should be placed in the oven only when the stones have been thoroughly heated (e.g., when they are white hot).</w:t>
      </w:r>
    </w:p>
    <w:p w14:paraId="340954E8"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should be staged inside the oven such that optimal heat transfer is achieved. This step must be carefully considered since the oven remains closed during the entire cooking time and no adjustments can be made once the foods are placed inside. Food size, food type, and separation from the heat source should be used to control the time needed to cook the different foods. In general, the food closest to the hot stones will achieve the highest temperatures.</w:t>
      </w:r>
    </w:p>
    <w:p w14:paraId="650B25F1"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If the food is placed in baskets inside the oven, they should be stacked no more than 2 baskets high5.</w:t>
      </w:r>
    </w:p>
    <w:p w14:paraId="77BB6A56"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Meats should be placed on the bottom layers of the oven so that they cook thoroughly.</w:t>
      </w:r>
    </w:p>
    <w:p w14:paraId="6BEB52A3"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Cooking whole animals (e.g., pork, deer) requires special measures (e.g., larger pit, longer cooking time, placing of hot stones wrapped in leaves inside the carcass).</w:t>
      </w:r>
    </w:p>
    <w:p w14:paraId="3DCE188C"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When closing the oven, large gaps between the last layer of plant materials and the covering material should be avoided to prevent large temperature gradients. To prevent the heat from escaping, the covering layer (e.g., mats, cloths, copra sacks) should extend beyond the diameter of the pit’s opening and should be fully covered with loose dirt. Any heat or steam leaks should be quickly controlled by adding or adjusting covering materials.</w:t>
      </w:r>
    </w:p>
    <w:p w14:paraId="26908AE7"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At the end of the cooking process, the covering layers should be removed preventing dirt or other materials from being in contact with the food.</w:t>
      </w:r>
    </w:p>
    <w:p w14:paraId="122D83CE"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lastRenderedPageBreak/>
        <w:t>Cooking start and finish times and, where possible, internal temperatures, should be recorded. Portable food thermometers should be used, where feasible, to verify that critical temperatures are reached throughout the food.</w:t>
      </w:r>
    </w:p>
    <w:p w14:paraId="1C852030" w14:textId="255C8400" w:rsidR="000B4B6F" w:rsidRPr="000B4B6F" w:rsidRDefault="000B4B6F" w:rsidP="000B4B6F">
      <w:pPr>
        <w:pStyle w:val="ListParagraph"/>
        <w:numPr>
          <w:ilvl w:val="1"/>
          <w:numId w:val="44"/>
        </w:numPr>
        <w:spacing w:before="120" w:after="120" w:line="300" w:lineRule="auto"/>
        <w:contextualSpacing w:val="0"/>
        <w:rPr>
          <w:rFonts w:ascii="Calibri" w:hAnsi="Calibri" w:cs="Calibri"/>
          <w:sz w:val="22"/>
          <w:szCs w:val="22"/>
          <w:lang w:val="en-US"/>
        </w:rPr>
      </w:pPr>
      <w:r w:rsidRPr="000B4B6F">
        <w:rPr>
          <w:rFonts w:ascii="Calibri" w:hAnsi="Calibri" w:cs="Calibri"/>
          <w:sz w:val="22"/>
          <w:szCs w:val="22"/>
          <w:lang w:val="en-US"/>
        </w:rPr>
        <w:t>Handling and storage</w:t>
      </w:r>
    </w:p>
    <w:p w14:paraId="114D4E3C"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cooked in an underground oven should be served promptly and kept at safe holding temperatures (≥60 °C or national standard) if not served immediately.</w:t>
      </w:r>
    </w:p>
    <w:p w14:paraId="5DBF00FA"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If foods prepared in an underground oven are to be stored, cooling time and temperature guidelines should be followed to prevent microbial growth and spore germination, and they should be stored refrigerated until the time of reheating and consumption.</w:t>
      </w:r>
    </w:p>
    <w:p w14:paraId="154F3206" w14:textId="2F86B7F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Utensils used for cooked and uncooked food should be handled separately to prevent cross-contamination.</w:t>
      </w:r>
    </w:p>
    <w:p w14:paraId="4556CD5F" w14:textId="43735F99" w:rsidR="000B4B6F" w:rsidRPr="000B4B6F" w:rsidRDefault="000B4B6F" w:rsidP="000B4B6F">
      <w:pPr>
        <w:pStyle w:val="ListParagraph"/>
        <w:numPr>
          <w:ilvl w:val="0"/>
          <w:numId w:val="44"/>
        </w:numPr>
        <w:spacing w:before="120" w:after="120" w:line="300" w:lineRule="auto"/>
        <w:contextualSpacing w:val="0"/>
        <w:rPr>
          <w:rFonts w:ascii="Calibri" w:hAnsi="Calibri" w:cs="Calibri"/>
          <w:b/>
          <w:bCs/>
          <w:sz w:val="22"/>
          <w:szCs w:val="22"/>
          <w:lang w:val="en-US"/>
        </w:rPr>
      </w:pPr>
      <w:r w:rsidRPr="000B4B6F">
        <w:rPr>
          <w:rFonts w:ascii="Calibri" w:hAnsi="Calibri" w:cs="Calibri"/>
          <w:b/>
          <w:bCs/>
          <w:sz w:val="22"/>
          <w:szCs w:val="22"/>
          <w:lang w:val="en-US"/>
        </w:rPr>
        <w:t>SECTION 7 – EDUCATION AND TRAINING</w:t>
      </w:r>
    </w:p>
    <w:p w14:paraId="742FBDD9" w14:textId="77777777" w:rsidR="000B4B6F" w:rsidRPr="000B4B6F"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Food handlers should undergo basic food hygiene training, including hazard recognition, temperature and time control, and safe handling of raw and cooked food. Training should be conducted by the relevant authority or other institutions recognized or approved by the relevant authority.</w:t>
      </w:r>
    </w:p>
    <w:p w14:paraId="189A9491" w14:textId="669324AB" w:rsidR="00480346" w:rsidRPr="00480346" w:rsidRDefault="000B4B6F" w:rsidP="000B4B6F">
      <w:pPr>
        <w:spacing w:before="120" w:after="120" w:line="300" w:lineRule="auto"/>
        <w:rPr>
          <w:rFonts w:ascii="Calibri" w:hAnsi="Calibri" w:cs="Calibri"/>
          <w:sz w:val="22"/>
          <w:szCs w:val="22"/>
          <w:lang w:val="en-US"/>
        </w:rPr>
      </w:pPr>
      <w:r w:rsidRPr="000B4B6F">
        <w:rPr>
          <w:rFonts w:ascii="Calibri" w:hAnsi="Calibri" w:cs="Calibri"/>
          <w:sz w:val="22"/>
          <w:szCs w:val="22"/>
          <w:lang w:val="en-US"/>
        </w:rPr>
        <w:t>When temperature monitoring is not conducted, consumers should be informed of the residual risk associated with potentially hazardous foods (e.g., meat, poultry) cooked in underground ovens. Vulnerable populations (e.g., pregnant women, young children, elderly, immunocompromised individuals) should avoid consuming such foods.</w:t>
      </w:r>
    </w:p>
    <w:sectPr w:rsidR="00480346" w:rsidRPr="00480346" w:rsidSect="00C439A6">
      <w:headerReference w:type="default" r:id="rId9"/>
      <w:footerReference w:type="default" r:id="rId10"/>
      <w:footerReference w:type="first" r:id="rId11"/>
      <w:pgSz w:w="12240" w:h="15840"/>
      <w:pgMar w:top="1138" w:right="720" w:bottom="562" w:left="720" w:header="57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79F7" w14:textId="77777777" w:rsidR="002534B5" w:rsidRDefault="002534B5" w:rsidP="00A02448">
      <w:r>
        <w:separator/>
      </w:r>
    </w:p>
  </w:endnote>
  <w:endnote w:type="continuationSeparator" w:id="0">
    <w:p w14:paraId="2D87B42D" w14:textId="77777777" w:rsidR="002534B5" w:rsidRDefault="002534B5" w:rsidP="00A0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2A85" w14:textId="06458F1F" w:rsidR="00045882" w:rsidRPr="0076604F" w:rsidRDefault="009544C7" w:rsidP="009544C7">
    <w:pPr>
      <w:pStyle w:val="Footer"/>
      <w:pBdr>
        <w:top w:val="single" w:sz="4" w:space="1" w:color="D9D9D9" w:themeColor="background1" w:themeShade="D9"/>
      </w:pBdr>
      <w:jc w:val="center"/>
      <w:rPr>
        <w:rFonts w:ascii="Calibri" w:hAnsi="Calibri" w:cs="Calibri"/>
        <w:sz w:val="20"/>
        <w:szCs w:val="20"/>
      </w:rPr>
    </w:pPr>
    <w:r w:rsidRPr="0076604F">
      <w:rPr>
        <w:rFonts w:ascii="Calibri" w:hAnsi="Calibri" w:cs="Calibri"/>
        <w:sz w:val="20"/>
        <w:szCs w:val="20"/>
      </w:rPr>
      <w:fldChar w:fldCharType="begin"/>
    </w:r>
    <w:r w:rsidRPr="0076604F">
      <w:rPr>
        <w:rFonts w:ascii="Calibri" w:hAnsi="Calibri" w:cs="Calibri"/>
        <w:sz w:val="20"/>
        <w:szCs w:val="20"/>
      </w:rPr>
      <w:instrText xml:space="preserve"> PAGE </w:instrText>
    </w:r>
    <w:r w:rsidRPr="0076604F">
      <w:rPr>
        <w:rFonts w:ascii="Calibri" w:hAnsi="Calibri" w:cs="Calibri"/>
        <w:sz w:val="20"/>
        <w:szCs w:val="20"/>
      </w:rPr>
      <w:fldChar w:fldCharType="separate"/>
    </w:r>
    <w:r w:rsidR="001E5D6D" w:rsidRPr="0076604F">
      <w:rPr>
        <w:rFonts w:ascii="Calibri" w:hAnsi="Calibri" w:cs="Calibri"/>
        <w:noProof/>
        <w:sz w:val="20"/>
        <w:szCs w:val="20"/>
      </w:rPr>
      <w:t>4</w:t>
    </w:r>
    <w:r w:rsidRPr="0076604F">
      <w:rPr>
        <w:rFonts w:ascii="Calibri" w:hAnsi="Calibri" w:cs="Calibri"/>
        <w:sz w:val="20"/>
        <w:szCs w:val="20"/>
      </w:rPr>
      <w:fldChar w:fldCharType="end"/>
    </w:r>
    <w:r w:rsidRPr="0076604F">
      <w:rPr>
        <w:rFonts w:ascii="Calibri" w:hAnsi="Calibri" w:cs="Calibri"/>
        <w:sz w:val="20"/>
        <w:szCs w:val="20"/>
      </w:rPr>
      <w:t xml:space="preserve"> / </w:t>
    </w:r>
    <w:r w:rsidRPr="0076604F">
      <w:rPr>
        <w:rFonts w:ascii="Calibri" w:hAnsi="Calibri" w:cs="Calibri"/>
        <w:sz w:val="20"/>
        <w:szCs w:val="20"/>
      </w:rPr>
      <w:fldChar w:fldCharType="begin"/>
    </w:r>
    <w:r w:rsidRPr="0076604F">
      <w:rPr>
        <w:rFonts w:ascii="Calibri" w:hAnsi="Calibri" w:cs="Calibri"/>
        <w:sz w:val="20"/>
        <w:szCs w:val="20"/>
      </w:rPr>
      <w:instrText xml:space="preserve"> NUMPAGES  </w:instrText>
    </w:r>
    <w:r w:rsidRPr="0076604F">
      <w:rPr>
        <w:rFonts w:ascii="Calibri" w:hAnsi="Calibri" w:cs="Calibri"/>
        <w:sz w:val="20"/>
        <w:szCs w:val="20"/>
      </w:rPr>
      <w:fldChar w:fldCharType="separate"/>
    </w:r>
    <w:r w:rsidR="001E5D6D" w:rsidRPr="0076604F">
      <w:rPr>
        <w:rFonts w:ascii="Calibri" w:hAnsi="Calibri" w:cs="Calibri"/>
        <w:noProof/>
        <w:sz w:val="20"/>
        <w:szCs w:val="20"/>
      </w:rPr>
      <w:t>6</w:t>
    </w:r>
    <w:r w:rsidRPr="0076604F">
      <w:rPr>
        <w:rFonts w:ascii="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3FA1" w14:textId="558736C4" w:rsidR="0094764D" w:rsidRPr="00B46C43" w:rsidRDefault="004F13F8" w:rsidP="00B46C43">
    <w:pPr>
      <w:pStyle w:val="Footer"/>
      <w:pBdr>
        <w:top w:val="single" w:sz="4" w:space="1" w:color="D9D9D9" w:themeColor="background1" w:themeShade="D9"/>
      </w:pBdr>
      <w:jc w:val="center"/>
      <w:rPr>
        <w:rFonts w:ascii="Calibri" w:hAnsi="Calibri" w:cs="Calibri"/>
        <w:i/>
        <w:iCs/>
        <w:sz w:val="20"/>
        <w:szCs w:val="20"/>
      </w:rPr>
    </w:pPr>
    <w:r>
      <w:rPr>
        <w:rFonts w:ascii="Calibri" w:hAnsi="Calibri" w:cs="Calibri"/>
        <w:i/>
        <w:iCs/>
        <w:sz w:val="20"/>
        <w:szCs w:val="20"/>
      </w:rPr>
      <w:t xml:space="preserve">Updated </w:t>
    </w:r>
    <w:r w:rsidR="00480346">
      <w:rPr>
        <w:rFonts w:ascii="Calibri" w:hAnsi="Calibri" w:cs="Calibri"/>
        <w:i/>
        <w:iCs/>
        <w:sz w:val="20"/>
        <w:szCs w:val="20"/>
      </w:rPr>
      <w:t>23</w:t>
    </w:r>
    <w:r w:rsidR="00B46C43">
      <w:rPr>
        <w:rFonts w:ascii="Calibri" w:hAnsi="Calibri" w:cs="Calibri"/>
        <w:i/>
        <w:iCs/>
        <w:sz w:val="20"/>
        <w:szCs w:val="20"/>
      </w:rPr>
      <w:t xml:space="preserve"> </w:t>
    </w:r>
    <w:r w:rsidR="00480346">
      <w:rPr>
        <w:rFonts w:ascii="Calibri" w:hAnsi="Calibri" w:cs="Calibri"/>
        <w:i/>
        <w:iCs/>
        <w:sz w:val="20"/>
        <w:szCs w:val="20"/>
      </w:rPr>
      <w:t>March</w:t>
    </w:r>
    <w:r w:rsidR="00B46C43">
      <w:rPr>
        <w:rFonts w:ascii="Calibri" w:hAnsi="Calibri" w:cs="Calibri"/>
        <w:i/>
        <w:iCs/>
        <w:sz w:val="20"/>
        <w:szCs w:val="20"/>
      </w:rPr>
      <w:t xml:space="preserve"> </w:t>
    </w:r>
    <w:r w:rsidR="009544C7" w:rsidRPr="009544C7">
      <w:rPr>
        <w:rFonts w:ascii="Calibri" w:hAnsi="Calibri" w:cs="Calibri"/>
        <w:i/>
        <w:iCs/>
        <w:sz w:val="20"/>
        <w:szCs w:val="20"/>
      </w:rPr>
      <w:t>20</w:t>
    </w:r>
    <w:r w:rsidR="00681BA4">
      <w:rPr>
        <w:rFonts w:ascii="Calibri" w:hAnsi="Calibri" w:cs="Calibri"/>
        <w:i/>
        <w:iCs/>
        <w:sz w:val="20"/>
        <w:szCs w:val="2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45EDB" w14:textId="77777777" w:rsidR="002534B5" w:rsidRDefault="002534B5" w:rsidP="00A02448">
      <w:r>
        <w:separator/>
      </w:r>
    </w:p>
  </w:footnote>
  <w:footnote w:type="continuationSeparator" w:id="0">
    <w:p w14:paraId="532362F1" w14:textId="77777777" w:rsidR="002534B5" w:rsidRDefault="002534B5" w:rsidP="00A02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BE12" w14:textId="6BC93D77" w:rsidR="002D2F13" w:rsidRPr="00072666" w:rsidRDefault="00480346" w:rsidP="00DC705F">
    <w:pPr>
      <w:pBdr>
        <w:bottom w:val="single" w:sz="4" w:space="1" w:color="auto"/>
      </w:pBdr>
      <w:jc w:val="center"/>
      <w:rPr>
        <w:rFonts w:ascii="Calibri" w:hAnsi="Calibri" w:cs="Calibri"/>
        <w:i/>
        <w:spacing w:val="20"/>
        <w:sz w:val="20"/>
        <w:szCs w:val="20"/>
      </w:rPr>
    </w:pPr>
    <w:r w:rsidRPr="00480346">
      <w:rPr>
        <w:rFonts w:ascii="Calibri" w:hAnsi="Calibri" w:cs="Calibri"/>
        <w:i/>
        <w:spacing w:val="20"/>
        <w:sz w:val="20"/>
        <w:szCs w:val="20"/>
      </w:rPr>
      <w:t>Proposal for New Work on a Regional Code of Hygienic Practice for Food Prepared in Underground Ovens</w:t>
    </w:r>
    <w:r w:rsidR="00D269AE">
      <w:rPr>
        <w:rFonts w:ascii="Calibri" w:hAnsi="Calibri" w:cs="Calibri"/>
        <w:i/>
        <w:spacing w:val="20"/>
        <w:sz w:val="20"/>
        <w:szCs w:val="20"/>
      </w:rPr>
      <w:t xml:space="preserve"> </w:t>
    </w:r>
    <w:r w:rsidR="00AC537A" w:rsidRPr="00072666">
      <w:rPr>
        <w:rFonts w:ascii="Calibri" w:hAnsi="Calibri" w:cs="Calibri"/>
        <w:i/>
        <w:iCs/>
        <w:spacing w:val="2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25D"/>
    <w:multiLevelType w:val="hybridMultilevel"/>
    <w:tmpl w:val="474A5F1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C24B2"/>
    <w:multiLevelType w:val="hybridMultilevel"/>
    <w:tmpl w:val="E12847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AF7"/>
    <w:multiLevelType w:val="hybridMultilevel"/>
    <w:tmpl w:val="A078A40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CC1DF8"/>
    <w:multiLevelType w:val="hybridMultilevel"/>
    <w:tmpl w:val="F5926A9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A2F19"/>
    <w:multiLevelType w:val="hybridMultilevel"/>
    <w:tmpl w:val="21B45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0093A"/>
    <w:multiLevelType w:val="hybridMultilevel"/>
    <w:tmpl w:val="57224ED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B3672D"/>
    <w:multiLevelType w:val="hybridMultilevel"/>
    <w:tmpl w:val="D0BAFF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70A51"/>
    <w:multiLevelType w:val="hybridMultilevel"/>
    <w:tmpl w:val="F44CA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652"/>
    <w:multiLevelType w:val="multilevel"/>
    <w:tmpl w:val="03449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3D0A33"/>
    <w:multiLevelType w:val="hybridMultilevel"/>
    <w:tmpl w:val="09FA0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32304"/>
    <w:multiLevelType w:val="hybridMultilevel"/>
    <w:tmpl w:val="ED3227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DE332D"/>
    <w:multiLevelType w:val="hybridMultilevel"/>
    <w:tmpl w:val="0F2A215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2B7FD0"/>
    <w:multiLevelType w:val="hybridMultilevel"/>
    <w:tmpl w:val="A82C51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C51236"/>
    <w:multiLevelType w:val="multilevel"/>
    <w:tmpl w:val="0166FE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00B4A7A"/>
    <w:multiLevelType w:val="hybridMultilevel"/>
    <w:tmpl w:val="1444B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D60B5"/>
    <w:multiLevelType w:val="hybridMultilevel"/>
    <w:tmpl w:val="9E70C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A3880"/>
    <w:multiLevelType w:val="hybridMultilevel"/>
    <w:tmpl w:val="9A0C38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762464"/>
    <w:multiLevelType w:val="hybridMultilevel"/>
    <w:tmpl w:val="73FE303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044438"/>
    <w:multiLevelType w:val="hybridMultilevel"/>
    <w:tmpl w:val="B7223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E2D3A"/>
    <w:multiLevelType w:val="hybridMultilevel"/>
    <w:tmpl w:val="6C102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71368"/>
    <w:multiLevelType w:val="hybridMultilevel"/>
    <w:tmpl w:val="76123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D7D82"/>
    <w:multiLevelType w:val="hybridMultilevel"/>
    <w:tmpl w:val="018E1740"/>
    <w:lvl w:ilvl="0" w:tplc="8ABA73C6">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61AE7"/>
    <w:multiLevelType w:val="hybridMultilevel"/>
    <w:tmpl w:val="BB567BD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6F592C"/>
    <w:multiLevelType w:val="hybridMultilevel"/>
    <w:tmpl w:val="8BAE13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AB1D6E"/>
    <w:multiLevelType w:val="hybridMultilevel"/>
    <w:tmpl w:val="527E16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75785D"/>
    <w:multiLevelType w:val="hybridMultilevel"/>
    <w:tmpl w:val="F286C100"/>
    <w:lvl w:ilvl="0" w:tplc="10090005">
      <w:start w:val="1"/>
      <w:numFmt w:val="bullet"/>
      <w:lvlText w:val=""/>
      <w:lvlJc w:val="left"/>
      <w:pPr>
        <w:ind w:left="720" w:hanging="360"/>
      </w:pPr>
      <w:rPr>
        <w:rFonts w:ascii="Wingdings" w:hAnsi="Wingdings" w:hint="default"/>
      </w:rPr>
    </w:lvl>
    <w:lvl w:ilvl="1" w:tplc="A42EE864">
      <w:numFmt w:val="bullet"/>
      <w:lvlText w:val="•"/>
      <w:lvlJc w:val="left"/>
      <w:pPr>
        <w:ind w:left="1793" w:hanging="713"/>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6B140F"/>
    <w:multiLevelType w:val="multilevel"/>
    <w:tmpl w:val="4A16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217285"/>
    <w:multiLevelType w:val="hybridMultilevel"/>
    <w:tmpl w:val="3FDA03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630021"/>
    <w:multiLevelType w:val="hybridMultilevel"/>
    <w:tmpl w:val="26BE8A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8338A6"/>
    <w:multiLevelType w:val="hybridMultilevel"/>
    <w:tmpl w:val="7446323A"/>
    <w:lvl w:ilvl="0" w:tplc="9CF25D58">
      <w:numFmt w:val="bullet"/>
      <w:lvlText w:val="•"/>
      <w:lvlJc w:val="left"/>
      <w:pPr>
        <w:ind w:left="1065" w:hanging="705"/>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3F0743B"/>
    <w:multiLevelType w:val="hybridMultilevel"/>
    <w:tmpl w:val="24A8A2D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54C07F7A"/>
    <w:multiLevelType w:val="hybridMultilevel"/>
    <w:tmpl w:val="A484FBA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DC5D3A"/>
    <w:multiLevelType w:val="hybridMultilevel"/>
    <w:tmpl w:val="7A08FA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8E5F3D"/>
    <w:multiLevelType w:val="hybridMultilevel"/>
    <w:tmpl w:val="E176E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B4B85"/>
    <w:multiLevelType w:val="hybridMultilevel"/>
    <w:tmpl w:val="007851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D4D26A0"/>
    <w:multiLevelType w:val="hybridMultilevel"/>
    <w:tmpl w:val="27321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87340D"/>
    <w:multiLevelType w:val="hybridMultilevel"/>
    <w:tmpl w:val="4B7A03FC"/>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68124FF3"/>
    <w:multiLevelType w:val="multilevel"/>
    <w:tmpl w:val="03449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CE5222"/>
    <w:multiLevelType w:val="hybridMultilevel"/>
    <w:tmpl w:val="59A0A32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0A70320"/>
    <w:multiLevelType w:val="hybridMultilevel"/>
    <w:tmpl w:val="1B5CF53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8552ED"/>
    <w:multiLevelType w:val="hybridMultilevel"/>
    <w:tmpl w:val="49F48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00ADE"/>
    <w:multiLevelType w:val="hybridMultilevel"/>
    <w:tmpl w:val="B644C6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6233B"/>
    <w:multiLevelType w:val="hybridMultilevel"/>
    <w:tmpl w:val="CBD2B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15934"/>
    <w:multiLevelType w:val="hybridMultilevel"/>
    <w:tmpl w:val="B01496E0"/>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4" w15:restartNumberingAfterBreak="0">
    <w:nsid w:val="769C0A0C"/>
    <w:multiLevelType w:val="hybridMultilevel"/>
    <w:tmpl w:val="ACA47AAA"/>
    <w:lvl w:ilvl="0" w:tplc="04090005">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711814"/>
    <w:multiLevelType w:val="hybridMultilevel"/>
    <w:tmpl w:val="FE604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F1B86"/>
    <w:multiLevelType w:val="hybridMultilevel"/>
    <w:tmpl w:val="3D88D75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44"/>
  </w:num>
  <w:num w:numId="4">
    <w:abstractNumId w:val="43"/>
  </w:num>
  <w:num w:numId="5">
    <w:abstractNumId w:val="14"/>
  </w:num>
  <w:num w:numId="6">
    <w:abstractNumId w:val="5"/>
  </w:num>
  <w:num w:numId="7">
    <w:abstractNumId w:val="23"/>
  </w:num>
  <w:num w:numId="8">
    <w:abstractNumId w:val="10"/>
  </w:num>
  <w:num w:numId="9">
    <w:abstractNumId w:val="9"/>
  </w:num>
  <w:num w:numId="10">
    <w:abstractNumId w:val="18"/>
  </w:num>
  <w:num w:numId="11">
    <w:abstractNumId w:val="24"/>
  </w:num>
  <w:num w:numId="12">
    <w:abstractNumId w:val="32"/>
  </w:num>
  <w:num w:numId="13">
    <w:abstractNumId w:val="20"/>
  </w:num>
  <w:num w:numId="14">
    <w:abstractNumId w:val="28"/>
  </w:num>
  <w:num w:numId="15">
    <w:abstractNumId w:val="6"/>
  </w:num>
  <w:num w:numId="16">
    <w:abstractNumId w:val="33"/>
  </w:num>
  <w:num w:numId="17">
    <w:abstractNumId w:val="40"/>
  </w:num>
  <w:num w:numId="18">
    <w:abstractNumId w:val="45"/>
  </w:num>
  <w:num w:numId="19">
    <w:abstractNumId w:val="12"/>
  </w:num>
  <w:num w:numId="20">
    <w:abstractNumId w:val="42"/>
  </w:num>
  <w:num w:numId="21">
    <w:abstractNumId w:val="4"/>
  </w:num>
  <w:num w:numId="22">
    <w:abstractNumId w:val="7"/>
  </w:num>
  <w:num w:numId="23">
    <w:abstractNumId w:val="19"/>
  </w:num>
  <w:num w:numId="24">
    <w:abstractNumId w:val="15"/>
  </w:num>
  <w:num w:numId="25">
    <w:abstractNumId w:val="1"/>
  </w:num>
  <w:num w:numId="26">
    <w:abstractNumId w:val="41"/>
  </w:num>
  <w:num w:numId="27">
    <w:abstractNumId w:val="16"/>
  </w:num>
  <w:num w:numId="28">
    <w:abstractNumId w:val="21"/>
  </w:num>
  <w:num w:numId="29">
    <w:abstractNumId w:val="25"/>
  </w:num>
  <w:num w:numId="30">
    <w:abstractNumId w:val="3"/>
  </w:num>
  <w:num w:numId="31">
    <w:abstractNumId w:val="31"/>
  </w:num>
  <w:num w:numId="32">
    <w:abstractNumId w:val="2"/>
  </w:num>
  <w:num w:numId="33">
    <w:abstractNumId w:val="17"/>
  </w:num>
  <w:num w:numId="34">
    <w:abstractNumId w:val="36"/>
  </w:num>
  <w:num w:numId="35">
    <w:abstractNumId w:val="11"/>
  </w:num>
  <w:num w:numId="36">
    <w:abstractNumId w:val="38"/>
  </w:num>
  <w:num w:numId="37">
    <w:abstractNumId w:val="22"/>
  </w:num>
  <w:num w:numId="38">
    <w:abstractNumId w:val="34"/>
  </w:num>
  <w:num w:numId="39">
    <w:abstractNumId w:val="46"/>
  </w:num>
  <w:num w:numId="40">
    <w:abstractNumId w:val="0"/>
  </w:num>
  <w:num w:numId="41">
    <w:abstractNumId w:val="37"/>
  </w:num>
  <w:num w:numId="42">
    <w:abstractNumId w:val="26"/>
  </w:num>
  <w:num w:numId="43">
    <w:abstractNumId w:val="30"/>
  </w:num>
  <w:num w:numId="44">
    <w:abstractNumId w:val="13"/>
  </w:num>
  <w:num w:numId="45">
    <w:abstractNumId w:val="8"/>
  </w:num>
  <w:num w:numId="46">
    <w:abstractNumId w:val="29"/>
  </w:num>
  <w:num w:numId="47">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E8C"/>
    <w:rsid w:val="000008E4"/>
    <w:rsid w:val="00005CAC"/>
    <w:rsid w:val="00005DFA"/>
    <w:rsid w:val="000169AE"/>
    <w:rsid w:val="0002267B"/>
    <w:rsid w:val="0002552F"/>
    <w:rsid w:val="00025C1E"/>
    <w:rsid w:val="000304D2"/>
    <w:rsid w:val="00037911"/>
    <w:rsid w:val="00042E13"/>
    <w:rsid w:val="000437D3"/>
    <w:rsid w:val="00045882"/>
    <w:rsid w:val="00053B59"/>
    <w:rsid w:val="00053E74"/>
    <w:rsid w:val="00060EFA"/>
    <w:rsid w:val="00064FCA"/>
    <w:rsid w:val="00065016"/>
    <w:rsid w:val="00071794"/>
    <w:rsid w:val="00071C10"/>
    <w:rsid w:val="00071D75"/>
    <w:rsid w:val="00072666"/>
    <w:rsid w:val="000729AB"/>
    <w:rsid w:val="0007425A"/>
    <w:rsid w:val="00077325"/>
    <w:rsid w:val="000823D3"/>
    <w:rsid w:val="00082F20"/>
    <w:rsid w:val="00087EE7"/>
    <w:rsid w:val="00091482"/>
    <w:rsid w:val="000943BE"/>
    <w:rsid w:val="00094E65"/>
    <w:rsid w:val="000A1A49"/>
    <w:rsid w:val="000A5EBE"/>
    <w:rsid w:val="000A6008"/>
    <w:rsid w:val="000B3660"/>
    <w:rsid w:val="000B4B6F"/>
    <w:rsid w:val="000B56A0"/>
    <w:rsid w:val="000C1DCE"/>
    <w:rsid w:val="000C252A"/>
    <w:rsid w:val="000C33E7"/>
    <w:rsid w:val="000C5C5A"/>
    <w:rsid w:val="000D1A8E"/>
    <w:rsid w:val="000D2FCA"/>
    <w:rsid w:val="000D7786"/>
    <w:rsid w:val="000E0D6D"/>
    <w:rsid w:val="000E6ECE"/>
    <w:rsid w:val="000F0F23"/>
    <w:rsid w:val="000F3338"/>
    <w:rsid w:val="000F6D34"/>
    <w:rsid w:val="00102B26"/>
    <w:rsid w:val="001032F2"/>
    <w:rsid w:val="001161B9"/>
    <w:rsid w:val="00116AA6"/>
    <w:rsid w:val="00116BEC"/>
    <w:rsid w:val="0013012B"/>
    <w:rsid w:val="00131884"/>
    <w:rsid w:val="00140388"/>
    <w:rsid w:val="001478B0"/>
    <w:rsid w:val="001507F4"/>
    <w:rsid w:val="001549C0"/>
    <w:rsid w:val="00157FD0"/>
    <w:rsid w:val="00162AAA"/>
    <w:rsid w:val="00162C7E"/>
    <w:rsid w:val="0016302D"/>
    <w:rsid w:val="0016799A"/>
    <w:rsid w:val="00167AD9"/>
    <w:rsid w:val="00171EB2"/>
    <w:rsid w:val="0017248B"/>
    <w:rsid w:val="001725F8"/>
    <w:rsid w:val="0017312E"/>
    <w:rsid w:val="001812FE"/>
    <w:rsid w:val="001836ED"/>
    <w:rsid w:val="00192F9E"/>
    <w:rsid w:val="001968BD"/>
    <w:rsid w:val="001A690C"/>
    <w:rsid w:val="001B0294"/>
    <w:rsid w:val="001B0601"/>
    <w:rsid w:val="001B6F57"/>
    <w:rsid w:val="001C2793"/>
    <w:rsid w:val="001C5E6C"/>
    <w:rsid w:val="001C7590"/>
    <w:rsid w:val="001D05A7"/>
    <w:rsid w:val="001D1AA6"/>
    <w:rsid w:val="001E04E5"/>
    <w:rsid w:val="001E0ED9"/>
    <w:rsid w:val="001E45D6"/>
    <w:rsid w:val="001E4C05"/>
    <w:rsid w:val="001E5579"/>
    <w:rsid w:val="001E5AD1"/>
    <w:rsid w:val="001E5D6D"/>
    <w:rsid w:val="001E6C69"/>
    <w:rsid w:val="001F2B09"/>
    <w:rsid w:val="001F3CB7"/>
    <w:rsid w:val="001F553B"/>
    <w:rsid w:val="0020118D"/>
    <w:rsid w:val="00201F44"/>
    <w:rsid w:val="00205517"/>
    <w:rsid w:val="002071E9"/>
    <w:rsid w:val="0021247C"/>
    <w:rsid w:val="00212D85"/>
    <w:rsid w:val="00216497"/>
    <w:rsid w:val="00216AE1"/>
    <w:rsid w:val="00221551"/>
    <w:rsid w:val="00222EC7"/>
    <w:rsid w:val="00224FD5"/>
    <w:rsid w:val="00230F01"/>
    <w:rsid w:val="00231CDC"/>
    <w:rsid w:val="0023313F"/>
    <w:rsid w:val="00233FA3"/>
    <w:rsid w:val="002371B2"/>
    <w:rsid w:val="00237A97"/>
    <w:rsid w:val="00241AD3"/>
    <w:rsid w:val="00247041"/>
    <w:rsid w:val="002534B5"/>
    <w:rsid w:val="002573BC"/>
    <w:rsid w:val="002663A2"/>
    <w:rsid w:val="00271384"/>
    <w:rsid w:val="00274021"/>
    <w:rsid w:val="00282A59"/>
    <w:rsid w:val="0029100C"/>
    <w:rsid w:val="00293404"/>
    <w:rsid w:val="00294EB2"/>
    <w:rsid w:val="00297143"/>
    <w:rsid w:val="002A0D73"/>
    <w:rsid w:val="002A1BAD"/>
    <w:rsid w:val="002B132B"/>
    <w:rsid w:val="002B7F2A"/>
    <w:rsid w:val="002C2432"/>
    <w:rsid w:val="002C2E13"/>
    <w:rsid w:val="002C42C2"/>
    <w:rsid w:val="002C4AC3"/>
    <w:rsid w:val="002C6B6C"/>
    <w:rsid w:val="002C6F03"/>
    <w:rsid w:val="002D2F13"/>
    <w:rsid w:val="002E162C"/>
    <w:rsid w:val="002E2CDC"/>
    <w:rsid w:val="002E5014"/>
    <w:rsid w:val="002E5B8A"/>
    <w:rsid w:val="002E77BE"/>
    <w:rsid w:val="002F0F82"/>
    <w:rsid w:val="002F3F83"/>
    <w:rsid w:val="00300064"/>
    <w:rsid w:val="00302ACE"/>
    <w:rsid w:val="003056B8"/>
    <w:rsid w:val="0031665D"/>
    <w:rsid w:val="0032275B"/>
    <w:rsid w:val="00326C00"/>
    <w:rsid w:val="00331932"/>
    <w:rsid w:val="00333F1B"/>
    <w:rsid w:val="00335304"/>
    <w:rsid w:val="00342B15"/>
    <w:rsid w:val="00345071"/>
    <w:rsid w:val="0034582E"/>
    <w:rsid w:val="00346EF7"/>
    <w:rsid w:val="00347EC4"/>
    <w:rsid w:val="00350270"/>
    <w:rsid w:val="003507C6"/>
    <w:rsid w:val="00351A32"/>
    <w:rsid w:val="00357F86"/>
    <w:rsid w:val="00360CB1"/>
    <w:rsid w:val="00365DEC"/>
    <w:rsid w:val="0037036D"/>
    <w:rsid w:val="0037072D"/>
    <w:rsid w:val="00376D4C"/>
    <w:rsid w:val="003778E3"/>
    <w:rsid w:val="00383AFF"/>
    <w:rsid w:val="00387C2B"/>
    <w:rsid w:val="00396194"/>
    <w:rsid w:val="0039652B"/>
    <w:rsid w:val="003969B2"/>
    <w:rsid w:val="003A47FF"/>
    <w:rsid w:val="003A6FE3"/>
    <w:rsid w:val="003B1657"/>
    <w:rsid w:val="003B2546"/>
    <w:rsid w:val="003B7E8C"/>
    <w:rsid w:val="003C04CA"/>
    <w:rsid w:val="003C102E"/>
    <w:rsid w:val="003C2A67"/>
    <w:rsid w:val="003C415D"/>
    <w:rsid w:val="003C47C8"/>
    <w:rsid w:val="003C577F"/>
    <w:rsid w:val="003D15FD"/>
    <w:rsid w:val="003E3A18"/>
    <w:rsid w:val="003E415A"/>
    <w:rsid w:val="003F0932"/>
    <w:rsid w:val="00401373"/>
    <w:rsid w:val="00412925"/>
    <w:rsid w:val="00412A92"/>
    <w:rsid w:val="00416217"/>
    <w:rsid w:val="0042071B"/>
    <w:rsid w:val="004229F5"/>
    <w:rsid w:val="00423F90"/>
    <w:rsid w:val="0042531E"/>
    <w:rsid w:val="00426362"/>
    <w:rsid w:val="00426654"/>
    <w:rsid w:val="00427692"/>
    <w:rsid w:val="00431A1F"/>
    <w:rsid w:val="00432614"/>
    <w:rsid w:val="00433A36"/>
    <w:rsid w:val="00434BD3"/>
    <w:rsid w:val="00435780"/>
    <w:rsid w:val="00435E40"/>
    <w:rsid w:val="00440F6C"/>
    <w:rsid w:val="004410DC"/>
    <w:rsid w:val="0044539B"/>
    <w:rsid w:val="0045136F"/>
    <w:rsid w:val="004515A6"/>
    <w:rsid w:val="00454E83"/>
    <w:rsid w:val="004569A8"/>
    <w:rsid w:val="00464243"/>
    <w:rsid w:val="004656A6"/>
    <w:rsid w:val="00472D59"/>
    <w:rsid w:val="00473B1F"/>
    <w:rsid w:val="00474281"/>
    <w:rsid w:val="00476C21"/>
    <w:rsid w:val="00480346"/>
    <w:rsid w:val="00495331"/>
    <w:rsid w:val="004962E5"/>
    <w:rsid w:val="00497247"/>
    <w:rsid w:val="00497C75"/>
    <w:rsid w:val="004A11B2"/>
    <w:rsid w:val="004A1B7E"/>
    <w:rsid w:val="004A55B3"/>
    <w:rsid w:val="004B07DC"/>
    <w:rsid w:val="004B1C41"/>
    <w:rsid w:val="004B6090"/>
    <w:rsid w:val="004C1AB8"/>
    <w:rsid w:val="004D4BE2"/>
    <w:rsid w:val="004F13F8"/>
    <w:rsid w:val="004F31DA"/>
    <w:rsid w:val="004F44A7"/>
    <w:rsid w:val="004F4B01"/>
    <w:rsid w:val="0050206C"/>
    <w:rsid w:val="0050557E"/>
    <w:rsid w:val="005100C9"/>
    <w:rsid w:val="00516446"/>
    <w:rsid w:val="00520283"/>
    <w:rsid w:val="00521310"/>
    <w:rsid w:val="0052446F"/>
    <w:rsid w:val="00525877"/>
    <w:rsid w:val="00527184"/>
    <w:rsid w:val="00530FAC"/>
    <w:rsid w:val="00532052"/>
    <w:rsid w:val="00533467"/>
    <w:rsid w:val="00533AD0"/>
    <w:rsid w:val="005354F9"/>
    <w:rsid w:val="0054148B"/>
    <w:rsid w:val="0054280E"/>
    <w:rsid w:val="00557E1B"/>
    <w:rsid w:val="00564E26"/>
    <w:rsid w:val="00566F28"/>
    <w:rsid w:val="00567185"/>
    <w:rsid w:val="00573381"/>
    <w:rsid w:val="0057338B"/>
    <w:rsid w:val="00576068"/>
    <w:rsid w:val="00582E66"/>
    <w:rsid w:val="00583D9E"/>
    <w:rsid w:val="005877D6"/>
    <w:rsid w:val="00590134"/>
    <w:rsid w:val="00595E6C"/>
    <w:rsid w:val="005A21F3"/>
    <w:rsid w:val="005A365E"/>
    <w:rsid w:val="005A386A"/>
    <w:rsid w:val="005B0991"/>
    <w:rsid w:val="005B1943"/>
    <w:rsid w:val="005B1BE4"/>
    <w:rsid w:val="005B469F"/>
    <w:rsid w:val="005C0310"/>
    <w:rsid w:val="005C7213"/>
    <w:rsid w:val="005C76C0"/>
    <w:rsid w:val="005D09E5"/>
    <w:rsid w:val="005D1712"/>
    <w:rsid w:val="005D20B7"/>
    <w:rsid w:val="005D5FFA"/>
    <w:rsid w:val="005D78DC"/>
    <w:rsid w:val="005E5B8C"/>
    <w:rsid w:val="005F335F"/>
    <w:rsid w:val="00602FD1"/>
    <w:rsid w:val="00604A62"/>
    <w:rsid w:val="00607B89"/>
    <w:rsid w:val="00613E9F"/>
    <w:rsid w:val="00614D21"/>
    <w:rsid w:val="0061528A"/>
    <w:rsid w:val="00624A63"/>
    <w:rsid w:val="00624DD8"/>
    <w:rsid w:val="00626691"/>
    <w:rsid w:val="00633742"/>
    <w:rsid w:val="00634AAF"/>
    <w:rsid w:val="006359AA"/>
    <w:rsid w:val="00635BF4"/>
    <w:rsid w:val="00636F97"/>
    <w:rsid w:val="00640B6D"/>
    <w:rsid w:val="00641042"/>
    <w:rsid w:val="00641559"/>
    <w:rsid w:val="00651E49"/>
    <w:rsid w:val="00651F31"/>
    <w:rsid w:val="00660B79"/>
    <w:rsid w:val="0066151C"/>
    <w:rsid w:val="006628A5"/>
    <w:rsid w:val="0066427C"/>
    <w:rsid w:val="00673999"/>
    <w:rsid w:val="0068017E"/>
    <w:rsid w:val="00681BA4"/>
    <w:rsid w:val="00683AEB"/>
    <w:rsid w:val="00685B34"/>
    <w:rsid w:val="00685F4B"/>
    <w:rsid w:val="006A0761"/>
    <w:rsid w:val="006A3C44"/>
    <w:rsid w:val="006A5EB7"/>
    <w:rsid w:val="006A7B46"/>
    <w:rsid w:val="006C108F"/>
    <w:rsid w:val="006C2D09"/>
    <w:rsid w:val="006C57A8"/>
    <w:rsid w:val="006C6F5F"/>
    <w:rsid w:val="006C7DC6"/>
    <w:rsid w:val="006D5EE7"/>
    <w:rsid w:val="006E6347"/>
    <w:rsid w:val="006F61BD"/>
    <w:rsid w:val="00714A89"/>
    <w:rsid w:val="007152DF"/>
    <w:rsid w:val="00722BB3"/>
    <w:rsid w:val="00730100"/>
    <w:rsid w:val="00731D5B"/>
    <w:rsid w:val="007359CF"/>
    <w:rsid w:val="007362D7"/>
    <w:rsid w:val="00750EE7"/>
    <w:rsid w:val="00753D3A"/>
    <w:rsid w:val="007572E8"/>
    <w:rsid w:val="00763024"/>
    <w:rsid w:val="0076604F"/>
    <w:rsid w:val="00766CA3"/>
    <w:rsid w:val="00766EB0"/>
    <w:rsid w:val="0077497F"/>
    <w:rsid w:val="00776142"/>
    <w:rsid w:val="00783891"/>
    <w:rsid w:val="00787CC8"/>
    <w:rsid w:val="00791914"/>
    <w:rsid w:val="00791D74"/>
    <w:rsid w:val="007946A3"/>
    <w:rsid w:val="00796E77"/>
    <w:rsid w:val="007B7422"/>
    <w:rsid w:val="007C1311"/>
    <w:rsid w:val="007C13D8"/>
    <w:rsid w:val="007C14A1"/>
    <w:rsid w:val="007C2853"/>
    <w:rsid w:val="007D3B83"/>
    <w:rsid w:val="007D438D"/>
    <w:rsid w:val="007D58BB"/>
    <w:rsid w:val="007D5EC8"/>
    <w:rsid w:val="007D6552"/>
    <w:rsid w:val="007E0C85"/>
    <w:rsid w:val="007F31A0"/>
    <w:rsid w:val="007F548E"/>
    <w:rsid w:val="007F576B"/>
    <w:rsid w:val="007F63B2"/>
    <w:rsid w:val="00801B35"/>
    <w:rsid w:val="008025C3"/>
    <w:rsid w:val="00803D6F"/>
    <w:rsid w:val="00806516"/>
    <w:rsid w:val="008128CB"/>
    <w:rsid w:val="00812F4B"/>
    <w:rsid w:val="00813648"/>
    <w:rsid w:val="00814D27"/>
    <w:rsid w:val="00822971"/>
    <w:rsid w:val="00822B0E"/>
    <w:rsid w:val="00823ED6"/>
    <w:rsid w:val="008248AA"/>
    <w:rsid w:val="00830DE9"/>
    <w:rsid w:val="008313DD"/>
    <w:rsid w:val="00835A50"/>
    <w:rsid w:val="008414B7"/>
    <w:rsid w:val="0084643A"/>
    <w:rsid w:val="00846C65"/>
    <w:rsid w:val="00846CF0"/>
    <w:rsid w:val="00851AA0"/>
    <w:rsid w:val="00851BC9"/>
    <w:rsid w:val="00855DBA"/>
    <w:rsid w:val="00857316"/>
    <w:rsid w:val="00860C7C"/>
    <w:rsid w:val="0086204A"/>
    <w:rsid w:val="00864CEA"/>
    <w:rsid w:val="0086527D"/>
    <w:rsid w:val="00867454"/>
    <w:rsid w:val="00870C72"/>
    <w:rsid w:val="0088186E"/>
    <w:rsid w:val="008837B6"/>
    <w:rsid w:val="0088429C"/>
    <w:rsid w:val="00884BD7"/>
    <w:rsid w:val="008852A0"/>
    <w:rsid w:val="008876B5"/>
    <w:rsid w:val="00890988"/>
    <w:rsid w:val="00891B14"/>
    <w:rsid w:val="00894845"/>
    <w:rsid w:val="008A12A7"/>
    <w:rsid w:val="008A2766"/>
    <w:rsid w:val="008A2E9B"/>
    <w:rsid w:val="008A4C4D"/>
    <w:rsid w:val="008B419B"/>
    <w:rsid w:val="008B42BA"/>
    <w:rsid w:val="008B5B3B"/>
    <w:rsid w:val="008C662E"/>
    <w:rsid w:val="008D072B"/>
    <w:rsid w:val="008D0ABE"/>
    <w:rsid w:val="008D446A"/>
    <w:rsid w:val="008D7EFF"/>
    <w:rsid w:val="008E15F3"/>
    <w:rsid w:val="008E2142"/>
    <w:rsid w:val="008E374A"/>
    <w:rsid w:val="008E5B66"/>
    <w:rsid w:val="008F18DE"/>
    <w:rsid w:val="008F2F51"/>
    <w:rsid w:val="008F2FBE"/>
    <w:rsid w:val="008F38D0"/>
    <w:rsid w:val="008F3F3F"/>
    <w:rsid w:val="008F66FE"/>
    <w:rsid w:val="008F6766"/>
    <w:rsid w:val="00913599"/>
    <w:rsid w:val="00913F18"/>
    <w:rsid w:val="009240DE"/>
    <w:rsid w:val="0094567A"/>
    <w:rsid w:val="00945B96"/>
    <w:rsid w:val="0094764D"/>
    <w:rsid w:val="009544C7"/>
    <w:rsid w:val="0095693A"/>
    <w:rsid w:val="00957F9B"/>
    <w:rsid w:val="00964936"/>
    <w:rsid w:val="00972426"/>
    <w:rsid w:val="00973D49"/>
    <w:rsid w:val="00975BD0"/>
    <w:rsid w:val="00977213"/>
    <w:rsid w:val="00977561"/>
    <w:rsid w:val="00983BF2"/>
    <w:rsid w:val="0099146D"/>
    <w:rsid w:val="00991EC4"/>
    <w:rsid w:val="00995B13"/>
    <w:rsid w:val="009A025C"/>
    <w:rsid w:val="009A24E4"/>
    <w:rsid w:val="009A551B"/>
    <w:rsid w:val="009A69D6"/>
    <w:rsid w:val="009B1EFB"/>
    <w:rsid w:val="009B2D10"/>
    <w:rsid w:val="009B41A3"/>
    <w:rsid w:val="009C250F"/>
    <w:rsid w:val="009C3483"/>
    <w:rsid w:val="009C517F"/>
    <w:rsid w:val="009C76A5"/>
    <w:rsid w:val="009D3550"/>
    <w:rsid w:val="009D687C"/>
    <w:rsid w:val="009E0F07"/>
    <w:rsid w:val="009E6750"/>
    <w:rsid w:val="009F2633"/>
    <w:rsid w:val="009F43AF"/>
    <w:rsid w:val="009F4A45"/>
    <w:rsid w:val="00A02448"/>
    <w:rsid w:val="00A02603"/>
    <w:rsid w:val="00A04D49"/>
    <w:rsid w:val="00A06D84"/>
    <w:rsid w:val="00A134E0"/>
    <w:rsid w:val="00A14160"/>
    <w:rsid w:val="00A14DA7"/>
    <w:rsid w:val="00A16529"/>
    <w:rsid w:val="00A1700C"/>
    <w:rsid w:val="00A273BA"/>
    <w:rsid w:val="00A32B65"/>
    <w:rsid w:val="00A3502E"/>
    <w:rsid w:val="00A370A5"/>
    <w:rsid w:val="00A37AAC"/>
    <w:rsid w:val="00A413AB"/>
    <w:rsid w:val="00A41FA5"/>
    <w:rsid w:val="00A4245D"/>
    <w:rsid w:val="00A46646"/>
    <w:rsid w:val="00A50D6E"/>
    <w:rsid w:val="00A528D0"/>
    <w:rsid w:val="00A5498A"/>
    <w:rsid w:val="00A55151"/>
    <w:rsid w:val="00A57D05"/>
    <w:rsid w:val="00A60F11"/>
    <w:rsid w:val="00A70EA0"/>
    <w:rsid w:val="00A81D0F"/>
    <w:rsid w:val="00A82D8E"/>
    <w:rsid w:val="00A869A8"/>
    <w:rsid w:val="00A96354"/>
    <w:rsid w:val="00A96DE9"/>
    <w:rsid w:val="00AA107F"/>
    <w:rsid w:val="00AA11EE"/>
    <w:rsid w:val="00AA1656"/>
    <w:rsid w:val="00AA248C"/>
    <w:rsid w:val="00AC537A"/>
    <w:rsid w:val="00AC648C"/>
    <w:rsid w:val="00AD3D27"/>
    <w:rsid w:val="00AE022E"/>
    <w:rsid w:val="00AE12FE"/>
    <w:rsid w:val="00AF0072"/>
    <w:rsid w:val="00AF2C2F"/>
    <w:rsid w:val="00AF46FF"/>
    <w:rsid w:val="00B04612"/>
    <w:rsid w:val="00B1200D"/>
    <w:rsid w:val="00B13209"/>
    <w:rsid w:val="00B143BB"/>
    <w:rsid w:val="00B205F0"/>
    <w:rsid w:val="00B22CD4"/>
    <w:rsid w:val="00B24948"/>
    <w:rsid w:val="00B27B92"/>
    <w:rsid w:val="00B418C5"/>
    <w:rsid w:val="00B41BBF"/>
    <w:rsid w:val="00B42D50"/>
    <w:rsid w:val="00B4426C"/>
    <w:rsid w:val="00B46C43"/>
    <w:rsid w:val="00B52125"/>
    <w:rsid w:val="00B57229"/>
    <w:rsid w:val="00B57486"/>
    <w:rsid w:val="00B60321"/>
    <w:rsid w:val="00B6143F"/>
    <w:rsid w:val="00B64A43"/>
    <w:rsid w:val="00B65294"/>
    <w:rsid w:val="00B6684C"/>
    <w:rsid w:val="00B7545D"/>
    <w:rsid w:val="00B75BA3"/>
    <w:rsid w:val="00B770E4"/>
    <w:rsid w:val="00B83D0B"/>
    <w:rsid w:val="00B92F22"/>
    <w:rsid w:val="00B957DF"/>
    <w:rsid w:val="00B977F8"/>
    <w:rsid w:val="00B97C14"/>
    <w:rsid w:val="00BA3496"/>
    <w:rsid w:val="00BA4D1E"/>
    <w:rsid w:val="00BA5027"/>
    <w:rsid w:val="00BA508A"/>
    <w:rsid w:val="00BA5B69"/>
    <w:rsid w:val="00BA6A5D"/>
    <w:rsid w:val="00BB0E90"/>
    <w:rsid w:val="00BB13A7"/>
    <w:rsid w:val="00BB5EEB"/>
    <w:rsid w:val="00BB6735"/>
    <w:rsid w:val="00BB7F32"/>
    <w:rsid w:val="00BC1691"/>
    <w:rsid w:val="00BC1AEE"/>
    <w:rsid w:val="00BD0801"/>
    <w:rsid w:val="00BD4AA5"/>
    <w:rsid w:val="00BD4E29"/>
    <w:rsid w:val="00BD66B6"/>
    <w:rsid w:val="00BE1C54"/>
    <w:rsid w:val="00BE2DEB"/>
    <w:rsid w:val="00BE52DB"/>
    <w:rsid w:val="00BF06CF"/>
    <w:rsid w:val="00BF07A8"/>
    <w:rsid w:val="00BF367B"/>
    <w:rsid w:val="00C03065"/>
    <w:rsid w:val="00C043FF"/>
    <w:rsid w:val="00C11102"/>
    <w:rsid w:val="00C14CC5"/>
    <w:rsid w:val="00C17ED2"/>
    <w:rsid w:val="00C26EA3"/>
    <w:rsid w:val="00C31039"/>
    <w:rsid w:val="00C33EF1"/>
    <w:rsid w:val="00C439A6"/>
    <w:rsid w:val="00C449A4"/>
    <w:rsid w:val="00C44D82"/>
    <w:rsid w:val="00C462B8"/>
    <w:rsid w:val="00C53EA9"/>
    <w:rsid w:val="00C64D99"/>
    <w:rsid w:val="00C66EFE"/>
    <w:rsid w:val="00C6716F"/>
    <w:rsid w:val="00C71FBA"/>
    <w:rsid w:val="00C72295"/>
    <w:rsid w:val="00C74247"/>
    <w:rsid w:val="00C74605"/>
    <w:rsid w:val="00C807D0"/>
    <w:rsid w:val="00C84164"/>
    <w:rsid w:val="00C911C7"/>
    <w:rsid w:val="00C92B93"/>
    <w:rsid w:val="00C95268"/>
    <w:rsid w:val="00CA4606"/>
    <w:rsid w:val="00CA4D5F"/>
    <w:rsid w:val="00CA7831"/>
    <w:rsid w:val="00CB5F9A"/>
    <w:rsid w:val="00CB7DA8"/>
    <w:rsid w:val="00CC58AA"/>
    <w:rsid w:val="00CD1358"/>
    <w:rsid w:val="00CD1A0C"/>
    <w:rsid w:val="00CD2C6A"/>
    <w:rsid w:val="00CD35BE"/>
    <w:rsid w:val="00CD5501"/>
    <w:rsid w:val="00CE677E"/>
    <w:rsid w:val="00CF012F"/>
    <w:rsid w:val="00CF4DDD"/>
    <w:rsid w:val="00D004F5"/>
    <w:rsid w:val="00D00700"/>
    <w:rsid w:val="00D02FA7"/>
    <w:rsid w:val="00D05982"/>
    <w:rsid w:val="00D06001"/>
    <w:rsid w:val="00D13250"/>
    <w:rsid w:val="00D1773A"/>
    <w:rsid w:val="00D17810"/>
    <w:rsid w:val="00D22259"/>
    <w:rsid w:val="00D269AE"/>
    <w:rsid w:val="00D33B8A"/>
    <w:rsid w:val="00D3521E"/>
    <w:rsid w:val="00D4329B"/>
    <w:rsid w:val="00D45221"/>
    <w:rsid w:val="00D4624E"/>
    <w:rsid w:val="00D5122B"/>
    <w:rsid w:val="00D5662E"/>
    <w:rsid w:val="00D57E47"/>
    <w:rsid w:val="00D6230A"/>
    <w:rsid w:val="00D62F71"/>
    <w:rsid w:val="00D652C1"/>
    <w:rsid w:val="00D65AB4"/>
    <w:rsid w:val="00D67CBA"/>
    <w:rsid w:val="00D703D1"/>
    <w:rsid w:val="00D73303"/>
    <w:rsid w:val="00D7366F"/>
    <w:rsid w:val="00D73A67"/>
    <w:rsid w:val="00D77CF5"/>
    <w:rsid w:val="00D809DE"/>
    <w:rsid w:val="00D818B6"/>
    <w:rsid w:val="00D829FF"/>
    <w:rsid w:val="00D832C6"/>
    <w:rsid w:val="00D943A7"/>
    <w:rsid w:val="00D95766"/>
    <w:rsid w:val="00D9707B"/>
    <w:rsid w:val="00D976CE"/>
    <w:rsid w:val="00D97BFF"/>
    <w:rsid w:val="00DA1959"/>
    <w:rsid w:val="00DA225A"/>
    <w:rsid w:val="00DB085D"/>
    <w:rsid w:val="00DB4A45"/>
    <w:rsid w:val="00DC1B93"/>
    <w:rsid w:val="00DC2CC5"/>
    <w:rsid w:val="00DC3F56"/>
    <w:rsid w:val="00DC705F"/>
    <w:rsid w:val="00DD1282"/>
    <w:rsid w:val="00DD2905"/>
    <w:rsid w:val="00DD4064"/>
    <w:rsid w:val="00DD512D"/>
    <w:rsid w:val="00DE581D"/>
    <w:rsid w:val="00DE7F64"/>
    <w:rsid w:val="00DF3823"/>
    <w:rsid w:val="00DF591B"/>
    <w:rsid w:val="00DF7E03"/>
    <w:rsid w:val="00E01140"/>
    <w:rsid w:val="00E04373"/>
    <w:rsid w:val="00E04553"/>
    <w:rsid w:val="00E04BCD"/>
    <w:rsid w:val="00E064FE"/>
    <w:rsid w:val="00E07169"/>
    <w:rsid w:val="00E07D58"/>
    <w:rsid w:val="00E14BC5"/>
    <w:rsid w:val="00E264AF"/>
    <w:rsid w:val="00E27B44"/>
    <w:rsid w:val="00E31C7A"/>
    <w:rsid w:val="00E321DD"/>
    <w:rsid w:val="00E33904"/>
    <w:rsid w:val="00E352E8"/>
    <w:rsid w:val="00E42150"/>
    <w:rsid w:val="00E43BB4"/>
    <w:rsid w:val="00E46923"/>
    <w:rsid w:val="00E5356D"/>
    <w:rsid w:val="00E53B01"/>
    <w:rsid w:val="00E54561"/>
    <w:rsid w:val="00E6227A"/>
    <w:rsid w:val="00E63E0F"/>
    <w:rsid w:val="00E65766"/>
    <w:rsid w:val="00E67828"/>
    <w:rsid w:val="00E7377D"/>
    <w:rsid w:val="00E749D3"/>
    <w:rsid w:val="00E7724F"/>
    <w:rsid w:val="00E870ED"/>
    <w:rsid w:val="00E91C9B"/>
    <w:rsid w:val="00E94EA7"/>
    <w:rsid w:val="00EA25A6"/>
    <w:rsid w:val="00EA315D"/>
    <w:rsid w:val="00EA7C78"/>
    <w:rsid w:val="00EB0FEA"/>
    <w:rsid w:val="00EB2B79"/>
    <w:rsid w:val="00EB2F88"/>
    <w:rsid w:val="00EB7E26"/>
    <w:rsid w:val="00ED5B68"/>
    <w:rsid w:val="00EE1E6E"/>
    <w:rsid w:val="00EE3E7D"/>
    <w:rsid w:val="00EE6901"/>
    <w:rsid w:val="00EF09A3"/>
    <w:rsid w:val="00EF20E5"/>
    <w:rsid w:val="00F0193B"/>
    <w:rsid w:val="00F04068"/>
    <w:rsid w:val="00F110F4"/>
    <w:rsid w:val="00F13043"/>
    <w:rsid w:val="00F22142"/>
    <w:rsid w:val="00F310E1"/>
    <w:rsid w:val="00F3128B"/>
    <w:rsid w:val="00F33852"/>
    <w:rsid w:val="00F35D84"/>
    <w:rsid w:val="00F365E2"/>
    <w:rsid w:val="00F42F04"/>
    <w:rsid w:val="00F43844"/>
    <w:rsid w:val="00F470E4"/>
    <w:rsid w:val="00F532E6"/>
    <w:rsid w:val="00F5555B"/>
    <w:rsid w:val="00F6794B"/>
    <w:rsid w:val="00F703B0"/>
    <w:rsid w:val="00F7445B"/>
    <w:rsid w:val="00F7764E"/>
    <w:rsid w:val="00F81268"/>
    <w:rsid w:val="00F81DCF"/>
    <w:rsid w:val="00F83161"/>
    <w:rsid w:val="00F83E4E"/>
    <w:rsid w:val="00F848C4"/>
    <w:rsid w:val="00F85469"/>
    <w:rsid w:val="00F909EB"/>
    <w:rsid w:val="00F95703"/>
    <w:rsid w:val="00F97744"/>
    <w:rsid w:val="00FA4761"/>
    <w:rsid w:val="00FA6C93"/>
    <w:rsid w:val="00FA6D1B"/>
    <w:rsid w:val="00FB20AC"/>
    <w:rsid w:val="00FB33F7"/>
    <w:rsid w:val="00FB40B3"/>
    <w:rsid w:val="00FC1EA5"/>
    <w:rsid w:val="00FD3018"/>
    <w:rsid w:val="00FD399F"/>
    <w:rsid w:val="00FD55C6"/>
    <w:rsid w:val="00FD6410"/>
    <w:rsid w:val="00FD75A1"/>
    <w:rsid w:val="00FE0123"/>
    <w:rsid w:val="00FF5C0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35DB52"/>
  <w15:docId w15:val="{B1F37FB9-CC03-0540-8357-14ECF903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04F"/>
    <w:rPr>
      <w:rFonts w:ascii="Times New Roman" w:eastAsia="Times New Roman" w:hAnsi="Times New Roman" w:cs="Times New Roman"/>
      <w:lang w:val="en-CA" w:eastAsia="zh-CN"/>
    </w:rPr>
  </w:style>
  <w:style w:type="paragraph" w:styleId="Heading1">
    <w:name w:val="heading 1"/>
    <w:basedOn w:val="Normal"/>
    <w:next w:val="Normal"/>
    <w:link w:val="Heading1Char"/>
    <w:uiPriority w:val="9"/>
    <w:qFormat/>
    <w:rsid w:val="00480346"/>
    <w:pPr>
      <w:shd w:val="clear" w:color="auto" w:fill="632423" w:themeFill="accent2" w:themeFillShade="80"/>
      <w:outlineLvl w:val="0"/>
    </w:pPr>
    <w:rPr>
      <w:rFonts w:ascii="Calibri" w:hAnsi="Calibri" w:cs="Calibri"/>
      <w:b/>
      <w:color w:val="FFFFFF" w:themeColor="background1"/>
      <w:sz w:val="22"/>
      <w:szCs w:val="22"/>
      <w:bdr w:val="none" w:sz="0" w:space="0" w:color="auto" w:frame="1"/>
      <w:lang w:val="en-US"/>
    </w:rPr>
  </w:style>
  <w:style w:type="paragraph" w:styleId="Heading3">
    <w:name w:val="heading 3"/>
    <w:basedOn w:val="Normal"/>
    <w:next w:val="Normal"/>
    <w:link w:val="Heading3Char"/>
    <w:uiPriority w:val="9"/>
    <w:semiHidden/>
    <w:unhideWhenUsed/>
    <w:qFormat/>
    <w:rsid w:val="00BA6A5D"/>
    <w:pPr>
      <w:keepNext/>
      <w:keepLines/>
      <w:spacing w:before="40"/>
      <w:outlineLvl w:val="2"/>
    </w:pPr>
    <w:rPr>
      <w:rFonts w:asciiTheme="majorHAnsi" w:eastAsiaTheme="majorEastAsia" w:hAnsiTheme="majorHAnsi" w:cstheme="majorBidi"/>
      <w:color w:val="243F60" w:themeColor="accent1" w:themeShade="7F"/>
      <w:lang w:eastAsia="fr-FR"/>
    </w:rPr>
  </w:style>
  <w:style w:type="paragraph" w:styleId="Heading5">
    <w:name w:val="heading 5"/>
    <w:basedOn w:val="Normal"/>
    <w:next w:val="Normal"/>
    <w:link w:val="Heading5Char"/>
    <w:uiPriority w:val="9"/>
    <w:semiHidden/>
    <w:unhideWhenUsed/>
    <w:qFormat/>
    <w:rsid w:val="007F548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E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E8C"/>
    <w:rPr>
      <w:rFonts w:ascii="Lucida Grande" w:hAnsi="Lucida Grande" w:cs="Lucida Grande"/>
      <w:sz w:val="18"/>
      <w:szCs w:val="18"/>
      <w:lang w:val="en-CA"/>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F38D0"/>
    <w:pPr>
      <w:ind w:left="720"/>
      <w:contextualSpacing/>
    </w:pPr>
    <w:rPr>
      <w:rFonts w:asciiTheme="minorHAnsi" w:eastAsiaTheme="minorEastAsia" w:hAnsiTheme="minorHAnsi" w:cstheme="minorBidi"/>
      <w:lang w:eastAsia="fr-FR"/>
    </w:rPr>
  </w:style>
  <w:style w:type="paragraph" w:styleId="Header">
    <w:name w:val="header"/>
    <w:basedOn w:val="Normal"/>
    <w:link w:val="HeaderChar"/>
    <w:uiPriority w:val="99"/>
    <w:unhideWhenUsed/>
    <w:rsid w:val="00A02448"/>
    <w:pPr>
      <w:tabs>
        <w:tab w:val="center" w:pos="4680"/>
        <w:tab w:val="right" w:pos="9360"/>
      </w:tabs>
    </w:pPr>
    <w:rPr>
      <w:rFonts w:asciiTheme="minorHAnsi" w:eastAsiaTheme="minorEastAsia" w:hAnsiTheme="minorHAnsi" w:cstheme="minorBidi"/>
      <w:lang w:eastAsia="fr-FR"/>
    </w:rPr>
  </w:style>
  <w:style w:type="character" w:customStyle="1" w:styleId="HeaderChar">
    <w:name w:val="Header Char"/>
    <w:basedOn w:val="DefaultParagraphFont"/>
    <w:link w:val="Header"/>
    <w:uiPriority w:val="99"/>
    <w:rsid w:val="00A02448"/>
    <w:rPr>
      <w:lang w:val="en-CA"/>
    </w:rPr>
  </w:style>
  <w:style w:type="paragraph" w:styleId="Footer">
    <w:name w:val="footer"/>
    <w:basedOn w:val="Normal"/>
    <w:link w:val="FooterChar"/>
    <w:uiPriority w:val="99"/>
    <w:unhideWhenUsed/>
    <w:rsid w:val="00A02448"/>
    <w:pPr>
      <w:tabs>
        <w:tab w:val="center" w:pos="4680"/>
        <w:tab w:val="right" w:pos="9360"/>
      </w:tabs>
    </w:pPr>
    <w:rPr>
      <w:rFonts w:asciiTheme="minorHAnsi" w:eastAsiaTheme="minorEastAsia" w:hAnsiTheme="minorHAnsi" w:cstheme="minorBidi"/>
      <w:lang w:eastAsia="fr-FR"/>
    </w:rPr>
  </w:style>
  <w:style w:type="character" w:customStyle="1" w:styleId="FooterChar">
    <w:name w:val="Footer Char"/>
    <w:basedOn w:val="DefaultParagraphFont"/>
    <w:link w:val="Footer"/>
    <w:uiPriority w:val="99"/>
    <w:rsid w:val="00A02448"/>
    <w:rPr>
      <w:lang w:val="en-CA"/>
    </w:rPr>
  </w:style>
  <w:style w:type="character" w:styleId="CommentReference">
    <w:name w:val="annotation reference"/>
    <w:basedOn w:val="DefaultParagraphFont"/>
    <w:uiPriority w:val="99"/>
    <w:semiHidden/>
    <w:unhideWhenUsed/>
    <w:rsid w:val="00A70EA0"/>
    <w:rPr>
      <w:sz w:val="16"/>
      <w:szCs w:val="16"/>
    </w:rPr>
  </w:style>
  <w:style w:type="paragraph" w:styleId="CommentText">
    <w:name w:val="annotation text"/>
    <w:basedOn w:val="Normal"/>
    <w:link w:val="CommentTextChar"/>
    <w:uiPriority w:val="99"/>
    <w:semiHidden/>
    <w:unhideWhenUsed/>
    <w:rsid w:val="00A70EA0"/>
    <w:rPr>
      <w:rFonts w:asciiTheme="minorHAnsi" w:eastAsiaTheme="minorEastAsia" w:hAnsiTheme="minorHAnsi" w:cstheme="minorBidi"/>
      <w:sz w:val="20"/>
      <w:szCs w:val="20"/>
      <w:lang w:eastAsia="fr-FR"/>
    </w:rPr>
  </w:style>
  <w:style w:type="character" w:customStyle="1" w:styleId="CommentTextChar">
    <w:name w:val="Comment Text Char"/>
    <w:basedOn w:val="DefaultParagraphFont"/>
    <w:link w:val="CommentText"/>
    <w:uiPriority w:val="99"/>
    <w:semiHidden/>
    <w:rsid w:val="00A70EA0"/>
    <w:rPr>
      <w:sz w:val="20"/>
      <w:szCs w:val="20"/>
      <w:lang w:val="en-CA"/>
    </w:rPr>
  </w:style>
  <w:style w:type="paragraph" w:styleId="CommentSubject">
    <w:name w:val="annotation subject"/>
    <w:basedOn w:val="CommentText"/>
    <w:next w:val="CommentText"/>
    <w:link w:val="CommentSubjectChar"/>
    <w:uiPriority w:val="99"/>
    <w:semiHidden/>
    <w:unhideWhenUsed/>
    <w:rsid w:val="00A70EA0"/>
    <w:rPr>
      <w:b/>
      <w:bCs/>
    </w:rPr>
  </w:style>
  <w:style w:type="character" w:customStyle="1" w:styleId="CommentSubjectChar">
    <w:name w:val="Comment Subject Char"/>
    <w:basedOn w:val="CommentTextChar"/>
    <w:link w:val="CommentSubject"/>
    <w:uiPriority w:val="99"/>
    <w:semiHidden/>
    <w:rsid w:val="00A70EA0"/>
    <w:rPr>
      <w:b/>
      <w:bCs/>
      <w:sz w:val="20"/>
      <w:szCs w:val="20"/>
      <w:lang w:val="en-CA"/>
    </w:rPr>
  </w:style>
  <w:style w:type="paragraph" w:styleId="Date">
    <w:name w:val="Date"/>
    <w:basedOn w:val="Normal"/>
    <w:next w:val="Normal"/>
    <w:link w:val="DateChar"/>
    <w:uiPriority w:val="99"/>
    <w:semiHidden/>
    <w:unhideWhenUsed/>
    <w:rsid w:val="00E27B44"/>
  </w:style>
  <w:style w:type="character" w:customStyle="1" w:styleId="DateChar">
    <w:name w:val="Date Char"/>
    <w:basedOn w:val="DefaultParagraphFont"/>
    <w:link w:val="Date"/>
    <w:uiPriority w:val="99"/>
    <w:semiHidden/>
    <w:rsid w:val="00E27B44"/>
    <w:rPr>
      <w:lang w:val="en-CA"/>
    </w:rPr>
  </w:style>
  <w:style w:type="character" w:styleId="Hyperlink">
    <w:name w:val="Hyperlink"/>
    <w:basedOn w:val="DefaultParagraphFont"/>
    <w:uiPriority w:val="99"/>
    <w:unhideWhenUsed/>
    <w:rsid w:val="003E3A18"/>
    <w:rPr>
      <w:color w:val="0000FF" w:themeColor="hyperlink"/>
      <w:u w:val="single"/>
    </w:rPr>
  </w:style>
  <w:style w:type="character" w:customStyle="1" w:styleId="UnresolvedMention1">
    <w:name w:val="Unresolved Mention1"/>
    <w:basedOn w:val="DefaultParagraphFont"/>
    <w:uiPriority w:val="99"/>
    <w:rsid w:val="003E3A18"/>
    <w:rPr>
      <w:color w:val="605E5C"/>
      <w:shd w:val="clear" w:color="auto" w:fill="E1DFDD"/>
    </w:rPr>
  </w:style>
  <w:style w:type="character" w:styleId="FollowedHyperlink">
    <w:name w:val="FollowedHyperlink"/>
    <w:basedOn w:val="DefaultParagraphFont"/>
    <w:uiPriority w:val="99"/>
    <w:semiHidden/>
    <w:unhideWhenUsed/>
    <w:rsid w:val="00053B59"/>
    <w:rPr>
      <w:color w:val="800080" w:themeColor="followedHyperlink"/>
      <w:u w:val="single"/>
    </w:rPr>
  </w:style>
  <w:style w:type="character" w:customStyle="1" w:styleId="Heading3Char">
    <w:name w:val="Heading 3 Char"/>
    <w:basedOn w:val="DefaultParagraphFont"/>
    <w:link w:val="Heading3"/>
    <w:uiPriority w:val="9"/>
    <w:semiHidden/>
    <w:rsid w:val="00BA6A5D"/>
    <w:rPr>
      <w:rFonts w:asciiTheme="majorHAnsi" w:eastAsiaTheme="majorEastAsia" w:hAnsiTheme="majorHAnsi" w:cstheme="majorBidi"/>
      <w:color w:val="243F60" w:themeColor="accent1" w:themeShade="7F"/>
      <w:lang w:val="en-CA"/>
    </w:rPr>
  </w:style>
  <w:style w:type="character" w:customStyle="1" w:styleId="Heading5Char">
    <w:name w:val="Heading 5 Char"/>
    <w:basedOn w:val="DefaultParagraphFont"/>
    <w:link w:val="Heading5"/>
    <w:uiPriority w:val="9"/>
    <w:semiHidden/>
    <w:rsid w:val="007F548E"/>
    <w:rPr>
      <w:rFonts w:asciiTheme="majorHAnsi" w:eastAsiaTheme="majorEastAsia" w:hAnsiTheme="majorHAnsi" w:cstheme="majorBidi"/>
      <w:color w:val="365F91" w:themeColor="accent1" w:themeShade="BF"/>
      <w:lang w:val="en-CA"/>
    </w:rPr>
  </w:style>
  <w:style w:type="character" w:customStyle="1" w:styleId="UnresolvedMention2">
    <w:name w:val="Unresolved Mention2"/>
    <w:basedOn w:val="DefaultParagraphFont"/>
    <w:uiPriority w:val="99"/>
    <w:semiHidden/>
    <w:unhideWhenUsed/>
    <w:rsid w:val="00E31C7A"/>
    <w:rPr>
      <w:color w:val="605E5C"/>
      <w:shd w:val="clear" w:color="auto" w:fill="E1DFDD"/>
    </w:rPr>
  </w:style>
  <w:style w:type="table" w:customStyle="1" w:styleId="GridTable6Colorful-Accent11">
    <w:name w:val="Grid Table 6 Colorful - Accent 11"/>
    <w:basedOn w:val="TableNormal"/>
    <w:uiPriority w:val="51"/>
    <w:rsid w:val="0056718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9"/>
    <w:rsid w:val="00480346"/>
    <w:rPr>
      <w:rFonts w:ascii="Calibri" w:eastAsia="Times New Roman" w:hAnsi="Calibri" w:cs="Calibri"/>
      <w:b/>
      <w:color w:val="FFFFFF" w:themeColor="background1"/>
      <w:sz w:val="22"/>
      <w:szCs w:val="22"/>
      <w:bdr w:val="none" w:sz="0" w:space="0" w:color="auto" w:frame="1"/>
      <w:shd w:val="clear" w:color="auto" w:fill="632423" w:themeFill="accent2" w:themeFillShade="80"/>
      <w:lang w:eastAsia="zh-CN"/>
    </w:rPr>
  </w:style>
  <w:style w:type="paragraph" w:customStyle="1" w:styleId="Default">
    <w:name w:val="Default"/>
    <w:rsid w:val="00E53B01"/>
    <w:pPr>
      <w:autoSpaceDE w:val="0"/>
      <w:autoSpaceDN w:val="0"/>
      <w:adjustRightInd w:val="0"/>
    </w:pPr>
    <w:rPr>
      <w:rFonts w:ascii="Calibri" w:hAnsi="Calibri" w:cs="Calibri"/>
      <w:color w:val="000000"/>
      <w:lang w:val="fr-FR"/>
    </w:rPr>
  </w:style>
  <w:style w:type="table" w:customStyle="1" w:styleId="ListTable6Colorful-Accent51">
    <w:name w:val="List Table 6 Colorful - Accent 51"/>
    <w:basedOn w:val="TableNormal"/>
    <w:uiPriority w:val="51"/>
    <w:rsid w:val="009A69D6"/>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ghtShading-Accent1">
    <w:name w:val="Light Shading Accent 1"/>
    <w:basedOn w:val="TableNormal"/>
    <w:uiPriority w:val="60"/>
    <w:rsid w:val="0068017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8414B7"/>
    <w:rPr>
      <w:rFonts w:ascii="Times New Roman" w:eastAsia="Times New Roman" w:hAnsi="Times New Roman" w:cs="Times New Roman"/>
      <w:lang w:val="en-CA" w:eastAsia="zh-CN"/>
    </w:rPr>
  </w:style>
  <w:style w:type="paragraph" w:styleId="NormalWeb">
    <w:name w:val="Normal (Web)"/>
    <w:basedOn w:val="Normal"/>
    <w:uiPriority w:val="99"/>
    <w:semiHidden/>
    <w:unhideWhenUsed/>
    <w:rsid w:val="003507C6"/>
    <w:pPr>
      <w:spacing w:before="100" w:beforeAutospacing="1" w:after="100" w:afterAutospacing="1"/>
    </w:pPr>
    <w:rPr>
      <w:rFonts w:eastAsiaTheme="minorEastAsia"/>
      <w:lang w:val="en-US" w:eastAsia="zh-TW"/>
    </w:rPr>
  </w:style>
  <w:style w:type="table" w:styleId="TableGrid">
    <w:name w:val="Table Grid"/>
    <w:basedOn w:val="TableNormal"/>
    <w:uiPriority w:val="59"/>
    <w:rsid w:val="0002552F"/>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6Couleur-Accentuation51">
    <w:name w:val="Tableau Liste 6 Couleur - Accentuation 51"/>
    <w:basedOn w:val="TableNormal"/>
    <w:uiPriority w:val="51"/>
    <w:rsid w:val="0002552F"/>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D9707B"/>
    <w:rPr>
      <w:lang w:val="en-CA"/>
    </w:rPr>
  </w:style>
  <w:style w:type="table" w:styleId="ListTable6Colorful-Accent1">
    <w:name w:val="List Table 6 Colorful Accent 1"/>
    <w:basedOn w:val="TableNormal"/>
    <w:uiPriority w:val="51"/>
    <w:rsid w:val="00D9707B"/>
    <w:rPr>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9240DE"/>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6">
    <w:name w:val="List Table 6 Colorful Accent 6"/>
    <w:basedOn w:val="TableNormal"/>
    <w:uiPriority w:val="51"/>
    <w:rsid w:val="00FD3018"/>
    <w:rPr>
      <w:color w:val="984806" w:themeColor="accent6" w:themeShade="80"/>
    </w:rPr>
    <w:tblPr>
      <w:tblStyleRowBandSize w:val="1"/>
      <w:tblStyleColBandSize w:val="1"/>
      <w:tblBorders>
        <w:top w:val="single" w:sz="4" w:space="0" w:color="984806" w:themeColor="accent6" w:themeShade="80"/>
        <w:bottom w:val="single" w:sz="4" w:space="0" w:color="984806" w:themeColor="accent6" w:themeShade="80"/>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xmsonormal">
    <w:name w:val="x_msonormal"/>
    <w:basedOn w:val="Normal"/>
    <w:rsid w:val="00480346"/>
    <w:pPr>
      <w:spacing w:before="100" w:beforeAutospacing="1" w:after="100" w:afterAutospacing="1"/>
    </w:pPr>
    <w:rPr>
      <w:lang w:eastAsia="ko-KR"/>
    </w:rPr>
  </w:style>
  <w:style w:type="paragraph" w:styleId="TOCHeading">
    <w:name w:val="TOC Heading"/>
    <w:basedOn w:val="Heading1"/>
    <w:next w:val="Normal"/>
    <w:uiPriority w:val="39"/>
    <w:unhideWhenUsed/>
    <w:qFormat/>
    <w:rsid w:val="00480346"/>
    <w:pPr>
      <w:keepNext/>
      <w:keepLines/>
      <w:shd w:val="clear" w:color="auto" w:fill="auto"/>
      <w:spacing w:before="240" w:line="259" w:lineRule="auto"/>
      <w:outlineLvl w:val="9"/>
    </w:pPr>
    <w:rPr>
      <w:rFonts w:asciiTheme="majorHAnsi" w:eastAsiaTheme="majorEastAsia" w:hAnsiTheme="majorHAnsi" w:cstheme="majorBidi"/>
      <w:b w:val="0"/>
      <w:color w:val="365F91" w:themeColor="accent1" w:themeShade="BF"/>
      <w:sz w:val="32"/>
      <w:szCs w:val="32"/>
      <w:bdr w:val="none" w:sz="0" w:space="0" w:color="auto"/>
      <w:lang w:eastAsia="en-US"/>
    </w:rPr>
  </w:style>
  <w:style w:type="paragraph" w:styleId="TOC1">
    <w:name w:val="toc 1"/>
    <w:basedOn w:val="Normal"/>
    <w:next w:val="Normal"/>
    <w:autoRedefine/>
    <w:uiPriority w:val="39"/>
    <w:unhideWhenUsed/>
    <w:rsid w:val="0048034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64701">
      <w:bodyDiv w:val="1"/>
      <w:marLeft w:val="0"/>
      <w:marRight w:val="0"/>
      <w:marTop w:val="0"/>
      <w:marBottom w:val="0"/>
      <w:divBdr>
        <w:top w:val="none" w:sz="0" w:space="0" w:color="auto"/>
        <w:left w:val="none" w:sz="0" w:space="0" w:color="auto"/>
        <w:bottom w:val="none" w:sz="0" w:space="0" w:color="auto"/>
        <w:right w:val="none" w:sz="0" w:space="0" w:color="auto"/>
      </w:divBdr>
    </w:div>
    <w:div w:id="1857112458">
      <w:bodyDiv w:val="1"/>
      <w:marLeft w:val="0"/>
      <w:marRight w:val="0"/>
      <w:marTop w:val="0"/>
      <w:marBottom w:val="0"/>
      <w:divBdr>
        <w:top w:val="none" w:sz="0" w:space="0" w:color="auto"/>
        <w:left w:val="none" w:sz="0" w:space="0" w:color="auto"/>
        <w:bottom w:val="none" w:sz="0" w:space="0" w:color="auto"/>
        <w:right w:val="none" w:sz="0" w:space="0" w:color="auto"/>
      </w:divBdr>
    </w:div>
    <w:div w:id="2049062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37B778-A779-4D19-A1A1-2C904E7474EA}">
  <we:reference id="wa104051163" version="1.2.0.3" store="en-U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2DAE4-C260-49C2-A4AD-19484E70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3455</Words>
  <Characters>19697</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FAO of the UN</Company>
  <LinksUpToDate>false</LinksUpToDate>
  <CharactersWithSpaces>23106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Godefroy</dc:creator>
  <cp:lastModifiedBy>Ken Teng</cp:lastModifiedBy>
  <cp:revision>3</cp:revision>
  <cp:lastPrinted>2024-02-21T02:31:00Z</cp:lastPrinted>
  <dcterms:created xsi:type="dcterms:W3CDTF">2026-03-23T05:52:00Z</dcterms:created>
  <dcterms:modified xsi:type="dcterms:W3CDTF">2026-03-23T05:54:00Z</dcterms:modified>
</cp:coreProperties>
</file>