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17D3" w14:textId="77777777" w:rsidR="005219B3" w:rsidRPr="00645B37" w:rsidRDefault="005219B3" w:rsidP="00EF51BC">
      <w:pPr>
        <w:spacing w:after="120"/>
        <w:jc w:val="both"/>
      </w:pPr>
    </w:p>
    <w:p w14:paraId="6CA07CC0" w14:textId="5D2C4911" w:rsidR="00572AAA" w:rsidRPr="00645B37" w:rsidRDefault="00645B37" w:rsidP="0077363D">
      <w:pPr>
        <w:spacing w:line="276" w:lineRule="auto"/>
        <w:jc w:val="both"/>
        <w:rPr>
          <w:b/>
          <w:bCs/>
        </w:rPr>
      </w:pPr>
      <w:r w:rsidRPr="00645B37">
        <w:rPr>
          <w:b/>
          <w:bCs/>
        </w:rPr>
        <w:t>Discussion Paper</w:t>
      </w:r>
      <w:r w:rsidR="00FB769B">
        <w:rPr>
          <w:b/>
          <w:bCs/>
        </w:rPr>
        <w:t xml:space="preserve"> </w:t>
      </w:r>
      <w:r w:rsidR="00FB769B" w:rsidRPr="00FB769B">
        <w:rPr>
          <w:b/>
          <w:bCs/>
          <w:highlight w:val="yellow"/>
        </w:rPr>
        <w:t>(2026 update)</w:t>
      </w:r>
    </w:p>
    <w:p w14:paraId="3739B4E9" w14:textId="77777777" w:rsidR="00645B37" w:rsidRDefault="00645B37" w:rsidP="0077363D">
      <w:pPr>
        <w:spacing w:line="276" w:lineRule="auto"/>
        <w:jc w:val="both"/>
        <w:rPr>
          <w:b/>
          <w:bCs/>
        </w:rPr>
      </w:pPr>
    </w:p>
    <w:p w14:paraId="457E30AB" w14:textId="70819B8F" w:rsidR="00645B37" w:rsidRPr="00645B37" w:rsidRDefault="00645B37" w:rsidP="0077363D">
      <w:pPr>
        <w:spacing w:line="276" w:lineRule="auto"/>
        <w:jc w:val="both"/>
        <w:rPr>
          <w:b/>
          <w:bCs/>
        </w:rPr>
      </w:pPr>
      <w:r w:rsidRPr="00645B37">
        <w:rPr>
          <w:b/>
          <w:bCs/>
        </w:rPr>
        <w:t>Traditional underground oven cooking in the Pacific Islands: Food safety considerations</w:t>
      </w:r>
    </w:p>
    <w:p w14:paraId="01092B19" w14:textId="77777777" w:rsidR="00645B37" w:rsidRDefault="00645B37" w:rsidP="0077363D">
      <w:pPr>
        <w:spacing w:line="276" w:lineRule="auto"/>
        <w:jc w:val="both"/>
      </w:pPr>
    </w:p>
    <w:p w14:paraId="1DEB0908" w14:textId="77777777" w:rsidR="00645B37" w:rsidRPr="00645B37" w:rsidRDefault="00645B37" w:rsidP="0077363D">
      <w:pPr>
        <w:spacing w:line="276" w:lineRule="auto"/>
        <w:jc w:val="both"/>
      </w:pPr>
    </w:p>
    <w:p w14:paraId="47E988BB" w14:textId="421D5A0A" w:rsidR="00223C1A" w:rsidRPr="00FB769B" w:rsidRDefault="00223C1A" w:rsidP="00FB769B">
      <w:pPr>
        <w:pStyle w:val="ListParagraph"/>
        <w:numPr>
          <w:ilvl w:val="0"/>
          <w:numId w:val="9"/>
        </w:numPr>
        <w:spacing w:line="276" w:lineRule="auto"/>
        <w:jc w:val="both"/>
        <w:rPr>
          <w:rFonts w:ascii="Times New Roman" w:hAnsi="Times New Roman" w:cs="Times New Roman"/>
          <w:b/>
          <w:bCs/>
        </w:rPr>
      </w:pPr>
      <w:r w:rsidRPr="00FB769B">
        <w:rPr>
          <w:rFonts w:ascii="Times New Roman" w:hAnsi="Times New Roman" w:cs="Times New Roman"/>
          <w:b/>
          <w:bCs/>
        </w:rPr>
        <w:t>Introduction</w:t>
      </w:r>
      <w:r w:rsidR="0077363D" w:rsidRPr="00FB769B">
        <w:rPr>
          <w:rFonts w:ascii="Times New Roman" w:hAnsi="Times New Roman" w:cs="Times New Roman"/>
          <w:b/>
          <w:bCs/>
        </w:rPr>
        <w:t xml:space="preserve"> to </w:t>
      </w:r>
      <w:r w:rsidR="00FB769B" w:rsidRPr="00FB769B">
        <w:rPr>
          <w:rFonts w:ascii="Times New Roman" w:hAnsi="Times New Roman" w:cs="Times New Roman"/>
          <w:b/>
          <w:bCs/>
        </w:rPr>
        <w:t>u</w:t>
      </w:r>
      <w:r w:rsidR="0077363D" w:rsidRPr="00FB769B">
        <w:rPr>
          <w:rFonts w:ascii="Times New Roman" w:hAnsi="Times New Roman" w:cs="Times New Roman"/>
          <w:b/>
          <w:bCs/>
        </w:rPr>
        <w:t xml:space="preserve">nderground </w:t>
      </w:r>
      <w:r w:rsidR="00FB769B" w:rsidRPr="00FB769B">
        <w:rPr>
          <w:rFonts w:ascii="Times New Roman" w:hAnsi="Times New Roman" w:cs="Times New Roman"/>
          <w:b/>
          <w:bCs/>
        </w:rPr>
        <w:t>c</w:t>
      </w:r>
      <w:r w:rsidR="0077363D" w:rsidRPr="00FB769B">
        <w:rPr>
          <w:rFonts w:ascii="Times New Roman" w:hAnsi="Times New Roman" w:cs="Times New Roman"/>
          <w:b/>
          <w:bCs/>
        </w:rPr>
        <w:t xml:space="preserve">ooking </w:t>
      </w:r>
      <w:r w:rsidR="00FB769B" w:rsidRPr="00FB769B">
        <w:rPr>
          <w:rFonts w:ascii="Times New Roman" w:hAnsi="Times New Roman" w:cs="Times New Roman"/>
          <w:b/>
          <w:bCs/>
        </w:rPr>
        <w:t>p</w:t>
      </w:r>
      <w:r w:rsidR="0077363D" w:rsidRPr="00FB769B">
        <w:rPr>
          <w:rFonts w:ascii="Times New Roman" w:hAnsi="Times New Roman" w:cs="Times New Roman"/>
          <w:b/>
          <w:bCs/>
        </w:rPr>
        <w:t xml:space="preserve">ractices </w:t>
      </w:r>
    </w:p>
    <w:p w14:paraId="60549A72" w14:textId="77777777" w:rsidR="00223C1A" w:rsidRPr="00645B37" w:rsidRDefault="00223C1A" w:rsidP="008D1534">
      <w:pPr>
        <w:spacing w:line="276" w:lineRule="auto"/>
        <w:jc w:val="both"/>
      </w:pPr>
    </w:p>
    <w:p w14:paraId="6186B301" w14:textId="5FEBF794" w:rsidR="00A0567B" w:rsidRPr="00645B37" w:rsidRDefault="00450B06" w:rsidP="008D1534">
      <w:pPr>
        <w:spacing w:line="276" w:lineRule="auto"/>
        <w:jc w:val="both"/>
      </w:pPr>
      <w:r w:rsidRPr="00645B37">
        <w:t xml:space="preserve">Cooking </w:t>
      </w:r>
      <w:r w:rsidR="00BA4FE4" w:rsidRPr="00645B37">
        <w:t xml:space="preserve">food </w:t>
      </w:r>
      <w:r w:rsidRPr="00645B37">
        <w:t>in underground ovens</w:t>
      </w:r>
      <w:r w:rsidR="00645B37">
        <w:t>, also known as earth ovens,</w:t>
      </w:r>
      <w:r w:rsidRPr="00645B37">
        <w:t xml:space="preserve"> is a</w:t>
      </w:r>
      <w:r w:rsidR="00173F74">
        <w:t>n important</w:t>
      </w:r>
      <w:r w:rsidRPr="00645B37">
        <w:t xml:space="preserve"> tradition in different regions of the world, including the </w:t>
      </w:r>
      <w:r w:rsidR="00645B37">
        <w:t>Pacific Islands</w:t>
      </w:r>
      <w:r w:rsidRPr="00645B37">
        <w:t>. Despite the variety of ethnic groups</w:t>
      </w:r>
      <w:r w:rsidR="00BA4FE4" w:rsidRPr="00645B37">
        <w:t xml:space="preserve"> present</w:t>
      </w:r>
      <w:r w:rsidRPr="00645B37">
        <w:t xml:space="preserve">, food </w:t>
      </w:r>
      <w:r w:rsidR="00AB1EC3" w:rsidRPr="00645B37">
        <w:t>traditions</w:t>
      </w:r>
      <w:r w:rsidRPr="00645B37">
        <w:t xml:space="preserve"> </w:t>
      </w:r>
      <w:r w:rsidR="00BA4FE4" w:rsidRPr="00645B37">
        <w:t xml:space="preserve">in </w:t>
      </w:r>
      <w:r w:rsidR="00645B37">
        <w:t>this region</w:t>
      </w:r>
      <w:r w:rsidR="00BA4FE4" w:rsidRPr="00645B37">
        <w:t xml:space="preserve"> </w:t>
      </w:r>
      <w:r w:rsidR="00AB1EC3" w:rsidRPr="00645B37">
        <w:t>are</w:t>
      </w:r>
      <w:r w:rsidRPr="00645B37">
        <w:t xml:space="preserve"> characterized by </w:t>
      </w:r>
      <w:r w:rsidR="00AB1EC3" w:rsidRPr="00645B37">
        <w:t xml:space="preserve">their </w:t>
      </w:r>
      <w:r w:rsidRPr="00645B37">
        <w:t>continuity across cultures (</w:t>
      </w:r>
      <w:r w:rsidR="00AB1EC3" w:rsidRPr="00645B37">
        <w:t xml:space="preserve">Haden, 2009). </w:t>
      </w:r>
      <w:r w:rsidR="00140144" w:rsidRPr="00645B37">
        <w:t>In this context</w:t>
      </w:r>
      <w:r w:rsidR="00AB1EC3" w:rsidRPr="00645B37">
        <w:t>, the underground oven remains a common element throughout the region</w:t>
      </w:r>
      <w:r w:rsidR="00795139" w:rsidRPr="00645B37">
        <w:t xml:space="preserve"> (Table 1)</w:t>
      </w:r>
      <w:r w:rsidR="00AB1EC3" w:rsidRPr="00645B37">
        <w:t>.</w:t>
      </w:r>
      <w:r w:rsidR="00A0567B" w:rsidRPr="00645B37">
        <w:t xml:space="preserve"> A wide variety of foods may be cooked in underground ovens, including meats (e.g., pork, chicken</w:t>
      </w:r>
      <w:r w:rsidR="00795139" w:rsidRPr="00645B37">
        <w:t>, fish</w:t>
      </w:r>
      <w:r w:rsidR="00A0567B" w:rsidRPr="00645B37">
        <w:t xml:space="preserve">), fruits (e.g., bananas, breadfruit), </w:t>
      </w:r>
      <w:r w:rsidR="00795139" w:rsidRPr="00645B37">
        <w:t xml:space="preserve">and </w:t>
      </w:r>
      <w:r w:rsidR="00A0567B" w:rsidRPr="00645B37">
        <w:t xml:space="preserve">vegetables (e.g., sweet potatoes, taro). </w:t>
      </w:r>
    </w:p>
    <w:p w14:paraId="31CE95E2" w14:textId="77777777" w:rsidR="00AB1EC3" w:rsidRPr="00645B37" w:rsidRDefault="00AB1EC3" w:rsidP="008D1534">
      <w:pPr>
        <w:spacing w:line="276" w:lineRule="auto"/>
        <w:jc w:val="both"/>
      </w:pPr>
    </w:p>
    <w:p w14:paraId="349006D6" w14:textId="6EE0A976" w:rsidR="00AB1EC3" w:rsidRPr="00645B37" w:rsidRDefault="00AB1EC3" w:rsidP="008D1534">
      <w:pPr>
        <w:spacing w:line="276" w:lineRule="auto"/>
        <w:jc w:val="both"/>
        <w:rPr>
          <w:b/>
          <w:bCs/>
        </w:rPr>
      </w:pPr>
      <w:commentRangeStart w:id="0"/>
      <w:r w:rsidRPr="00645B37">
        <w:rPr>
          <w:b/>
          <w:bCs/>
        </w:rPr>
        <w:t>Table 1</w:t>
      </w:r>
      <w:commentRangeEnd w:id="0"/>
      <w:r w:rsidR="00760CCC" w:rsidRPr="00645B37">
        <w:rPr>
          <w:rStyle w:val="CommentReference"/>
          <w:b/>
          <w:bCs/>
          <w:sz w:val="24"/>
          <w:szCs w:val="24"/>
        </w:rPr>
        <w:commentReference w:id="0"/>
      </w:r>
      <w:r w:rsidRPr="00645B37">
        <w:rPr>
          <w:b/>
          <w:bCs/>
        </w:rPr>
        <w:t xml:space="preserve">. </w:t>
      </w:r>
      <w:r w:rsidR="00645B37">
        <w:rPr>
          <w:b/>
          <w:bCs/>
        </w:rPr>
        <w:t>Examples of u</w:t>
      </w:r>
      <w:r w:rsidRPr="00645B37">
        <w:rPr>
          <w:b/>
          <w:bCs/>
        </w:rPr>
        <w:t xml:space="preserve">nderground </w:t>
      </w:r>
      <w:r w:rsidR="00140144" w:rsidRPr="00645B37">
        <w:rPr>
          <w:b/>
          <w:bCs/>
        </w:rPr>
        <w:t>oven</w:t>
      </w:r>
      <w:r w:rsidR="00795139" w:rsidRPr="00645B37">
        <w:rPr>
          <w:b/>
          <w:bCs/>
        </w:rPr>
        <w:t xml:space="preserve"> </w:t>
      </w:r>
      <w:r w:rsidR="00645B37">
        <w:rPr>
          <w:b/>
          <w:bCs/>
        </w:rPr>
        <w:t xml:space="preserve">traditional </w:t>
      </w:r>
      <w:r w:rsidR="00795139" w:rsidRPr="00645B37">
        <w:rPr>
          <w:b/>
          <w:bCs/>
        </w:rPr>
        <w:t>names</w:t>
      </w:r>
      <w:r w:rsidRPr="00645B37">
        <w:rPr>
          <w:b/>
          <w:bCs/>
        </w:rPr>
        <w:t xml:space="preserve"> used in </w:t>
      </w:r>
      <w:r w:rsidR="004730B2" w:rsidRPr="00645B37">
        <w:rPr>
          <w:b/>
          <w:bCs/>
        </w:rPr>
        <w:t>the Pacific Islands</w:t>
      </w:r>
      <w:r w:rsidR="00EF71D6" w:rsidRPr="00645B37">
        <w:rPr>
          <w:b/>
          <w:bCs/>
        </w:rPr>
        <w:t xml:space="preserve"> </w:t>
      </w:r>
    </w:p>
    <w:p w14:paraId="3389531A" w14:textId="77777777" w:rsidR="00AB1EC3" w:rsidRPr="00645B37" w:rsidRDefault="00AB1EC3" w:rsidP="008D1534">
      <w:pPr>
        <w:spacing w:line="276" w:lineRule="auto"/>
        <w:jc w:val="both"/>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3116"/>
        <w:gridCol w:w="3117"/>
      </w:tblGrid>
      <w:tr w:rsidR="00AB1EC3" w:rsidRPr="00645B37" w14:paraId="3700B6EE" w14:textId="77777777" w:rsidTr="00795139">
        <w:trPr>
          <w:jc w:val="center"/>
        </w:trPr>
        <w:tc>
          <w:tcPr>
            <w:tcW w:w="3116" w:type="dxa"/>
            <w:vAlign w:val="center"/>
          </w:tcPr>
          <w:p w14:paraId="4F807485" w14:textId="6B86902F" w:rsidR="00AB1EC3" w:rsidRPr="00645B37" w:rsidRDefault="008635B0" w:rsidP="008D1534">
            <w:pPr>
              <w:spacing w:line="276" w:lineRule="auto"/>
              <w:jc w:val="center"/>
              <w:rPr>
                <w:b/>
                <w:bCs/>
              </w:rPr>
            </w:pPr>
            <w:r w:rsidRPr="00645B37">
              <w:rPr>
                <w:b/>
                <w:bCs/>
              </w:rPr>
              <w:t>E</w:t>
            </w:r>
            <w:r w:rsidR="00AB1EC3" w:rsidRPr="00645B37">
              <w:rPr>
                <w:b/>
                <w:bCs/>
              </w:rPr>
              <w:t>thnic group</w:t>
            </w:r>
            <w:r w:rsidRPr="00645B37">
              <w:rPr>
                <w:b/>
                <w:bCs/>
              </w:rPr>
              <w:t xml:space="preserve"> </w:t>
            </w:r>
            <w:r w:rsidR="00645B37">
              <w:rPr>
                <w:b/>
                <w:bCs/>
              </w:rPr>
              <w:t>or</w:t>
            </w:r>
            <w:r w:rsidRPr="00645B37">
              <w:rPr>
                <w:b/>
                <w:bCs/>
              </w:rPr>
              <w:t xml:space="preserve"> region</w:t>
            </w:r>
          </w:p>
        </w:tc>
        <w:tc>
          <w:tcPr>
            <w:tcW w:w="3117" w:type="dxa"/>
            <w:vAlign w:val="center"/>
          </w:tcPr>
          <w:p w14:paraId="0E02F96C" w14:textId="7329F9A2" w:rsidR="00AB1EC3" w:rsidRPr="00645B37" w:rsidRDefault="00AB1EC3" w:rsidP="008D1534">
            <w:pPr>
              <w:spacing w:line="276" w:lineRule="auto"/>
              <w:jc w:val="center"/>
              <w:rPr>
                <w:b/>
                <w:bCs/>
              </w:rPr>
            </w:pPr>
            <w:r w:rsidRPr="00645B37">
              <w:rPr>
                <w:b/>
                <w:bCs/>
              </w:rPr>
              <w:t>Underground oven traditional name</w:t>
            </w:r>
          </w:p>
        </w:tc>
      </w:tr>
      <w:tr w:rsidR="00863E05" w:rsidRPr="00645B37" w14:paraId="4EEB8559" w14:textId="77777777" w:rsidTr="00B23A36">
        <w:trPr>
          <w:jc w:val="center"/>
        </w:trPr>
        <w:tc>
          <w:tcPr>
            <w:tcW w:w="3116" w:type="dxa"/>
          </w:tcPr>
          <w:p w14:paraId="31D00BE1" w14:textId="77777777" w:rsidR="00863E05" w:rsidRPr="00645B37" w:rsidRDefault="00863E05" w:rsidP="00B23A36">
            <w:pPr>
              <w:spacing w:line="276" w:lineRule="auto"/>
              <w:jc w:val="both"/>
            </w:pPr>
            <w:r w:rsidRPr="00645B37">
              <w:t>Aboriginal and Torres Strait Islanders (Australia)</w:t>
            </w:r>
          </w:p>
        </w:tc>
        <w:tc>
          <w:tcPr>
            <w:tcW w:w="3117" w:type="dxa"/>
          </w:tcPr>
          <w:p w14:paraId="1564966D" w14:textId="77777777" w:rsidR="00863E05" w:rsidRPr="00645B37" w:rsidRDefault="00863E05" w:rsidP="00B23A36">
            <w:pPr>
              <w:spacing w:line="276" w:lineRule="auto"/>
              <w:jc w:val="both"/>
            </w:pPr>
            <w:r w:rsidRPr="00645B37">
              <w:t>Kup mari</w:t>
            </w:r>
          </w:p>
        </w:tc>
      </w:tr>
      <w:tr w:rsidR="00863E05" w:rsidRPr="00645B37" w14:paraId="3D6E4D96" w14:textId="77777777" w:rsidTr="00B23A36">
        <w:trPr>
          <w:jc w:val="center"/>
        </w:trPr>
        <w:tc>
          <w:tcPr>
            <w:tcW w:w="3116" w:type="dxa"/>
          </w:tcPr>
          <w:p w14:paraId="1641FA4C" w14:textId="77777777" w:rsidR="00863E05" w:rsidRPr="00645B37" w:rsidRDefault="00863E05" w:rsidP="00B23A36">
            <w:pPr>
              <w:spacing w:line="276" w:lineRule="auto"/>
              <w:jc w:val="both"/>
            </w:pPr>
            <w:r w:rsidRPr="00645B37">
              <w:t>Fiji</w:t>
            </w:r>
          </w:p>
        </w:tc>
        <w:tc>
          <w:tcPr>
            <w:tcW w:w="3117" w:type="dxa"/>
          </w:tcPr>
          <w:p w14:paraId="7C2BF54C" w14:textId="77777777" w:rsidR="00863E05" w:rsidRPr="00645B37" w:rsidRDefault="00863E05" w:rsidP="00B23A36">
            <w:pPr>
              <w:spacing w:line="276" w:lineRule="auto"/>
              <w:jc w:val="both"/>
            </w:pPr>
            <w:r w:rsidRPr="00645B37">
              <w:t>Lovo</w:t>
            </w:r>
          </w:p>
        </w:tc>
      </w:tr>
      <w:tr w:rsidR="00AB1EC3" w:rsidRPr="00645B37" w14:paraId="141D737E" w14:textId="77777777" w:rsidTr="00795139">
        <w:trPr>
          <w:jc w:val="center"/>
        </w:trPr>
        <w:tc>
          <w:tcPr>
            <w:tcW w:w="3116" w:type="dxa"/>
          </w:tcPr>
          <w:p w14:paraId="31768C46" w14:textId="206546E9" w:rsidR="00AB1EC3" w:rsidRPr="00645B37" w:rsidRDefault="00AB1EC3" w:rsidP="008D1534">
            <w:pPr>
              <w:spacing w:line="276" w:lineRule="auto"/>
              <w:jc w:val="both"/>
            </w:pPr>
            <w:r w:rsidRPr="00645B37">
              <w:t>Hawaii</w:t>
            </w:r>
          </w:p>
        </w:tc>
        <w:tc>
          <w:tcPr>
            <w:tcW w:w="3117" w:type="dxa"/>
          </w:tcPr>
          <w:p w14:paraId="2BF01BAB" w14:textId="79C3C599" w:rsidR="00AB1EC3" w:rsidRPr="00645B37" w:rsidRDefault="00AB1EC3" w:rsidP="008D1534">
            <w:pPr>
              <w:spacing w:line="276" w:lineRule="auto"/>
              <w:jc w:val="both"/>
            </w:pPr>
            <w:r w:rsidRPr="00645B37">
              <w:t>Imu</w:t>
            </w:r>
          </w:p>
        </w:tc>
      </w:tr>
      <w:tr w:rsidR="00863E05" w:rsidRPr="00645B37" w14:paraId="108AD7F0" w14:textId="77777777" w:rsidTr="00B23A36">
        <w:trPr>
          <w:jc w:val="center"/>
        </w:trPr>
        <w:tc>
          <w:tcPr>
            <w:tcW w:w="3116" w:type="dxa"/>
          </w:tcPr>
          <w:p w14:paraId="23A7D277" w14:textId="77777777" w:rsidR="00863E05" w:rsidRPr="00645B37" w:rsidRDefault="00863E05" w:rsidP="00B23A36">
            <w:pPr>
              <w:spacing w:line="276" w:lineRule="auto"/>
              <w:jc w:val="both"/>
            </w:pPr>
            <w:r w:rsidRPr="00645B37">
              <w:t>Marshall Islands</w:t>
            </w:r>
          </w:p>
        </w:tc>
        <w:tc>
          <w:tcPr>
            <w:tcW w:w="3117" w:type="dxa"/>
          </w:tcPr>
          <w:p w14:paraId="7841D4BA" w14:textId="77777777" w:rsidR="00863E05" w:rsidRPr="00645B37" w:rsidRDefault="00863E05" w:rsidP="00B23A36">
            <w:pPr>
              <w:spacing w:line="276" w:lineRule="auto"/>
              <w:jc w:val="both"/>
            </w:pPr>
            <w:r w:rsidRPr="00645B37">
              <w:t>Um</w:t>
            </w:r>
          </w:p>
        </w:tc>
      </w:tr>
      <w:tr w:rsidR="00AB1EC3" w:rsidRPr="00645B37" w14:paraId="713D2392" w14:textId="77777777" w:rsidTr="00795139">
        <w:trPr>
          <w:jc w:val="center"/>
        </w:trPr>
        <w:tc>
          <w:tcPr>
            <w:tcW w:w="3116" w:type="dxa"/>
          </w:tcPr>
          <w:p w14:paraId="67AFC628" w14:textId="5287C5CF" w:rsidR="00AB1EC3" w:rsidRPr="00645B37" w:rsidRDefault="008635B0" w:rsidP="008D1534">
            <w:pPr>
              <w:spacing w:line="276" w:lineRule="auto"/>
              <w:jc w:val="both"/>
            </w:pPr>
            <w:r w:rsidRPr="00645B37">
              <w:t>Maori (New Zealand)</w:t>
            </w:r>
          </w:p>
        </w:tc>
        <w:tc>
          <w:tcPr>
            <w:tcW w:w="3117" w:type="dxa"/>
          </w:tcPr>
          <w:p w14:paraId="5D51E264" w14:textId="153A10EF" w:rsidR="00AB1EC3" w:rsidRPr="00645B37" w:rsidRDefault="00DC235C" w:rsidP="008D1534">
            <w:pPr>
              <w:spacing w:line="276" w:lineRule="auto"/>
              <w:jc w:val="both"/>
            </w:pPr>
            <w:r w:rsidRPr="00645B37">
              <w:t>Hangi</w:t>
            </w:r>
          </w:p>
        </w:tc>
      </w:tr>
      <w:tr w:rsidR="00863E05" w:rsidRPr="00645B37" w14:paraId="0821BCC4" w14:textId="77777777" w:rsidTr="00795139">
        <w:trPr>
          <w:jc w:val="center"/>
        </w:trPr>
        <w:tc>
          <w:tcPr>
            <w:tcW w:w="3116" w:type="dxa"/>
          </w:tcPr>
          <w:p w14:paraId="552E1226" w14:textId="5D873D48" w:rsidR="00863E05" w:rsidRPr="00645B37" w:rsidRDefault="00863E05" w:rsidP="008D1534">
            <w:pPr>
              <w:spacing w:line="276" w:lineRule="auto"/>
              <w:jc w:val="both"/>
            </w:pPr>
            <w:r w:rsidRPr="00645B37">
              <w:t>Papua New Guinea</w:t>
            </w:r>
          </w:p>
        </w:tc>
        <w:tc>
          <w:tcPr>
            <w:tcW w:w="3117" w:type="dxa"/>
          </w:tcPr>
          <w:p w14:paraId="637B315E" w14:textId="6E7F2DFD" w:rsidR="00863E05" w:rsidRPr="00645B37" w:rsidRDefault="00863E05" w:rsidP="008D1534">
            <w:pPr>
              <w:spacing w:line="276" w:lineRule="auto"/>
              <w:jc w:val="both"/>
            </w:pPr>
            <w:r w:rsidRPr="00645B37">
              <w:t>Mumu</w:t>
            </w:r>
          </w:p>
        </w:tc>
      </w:tr>
      <w:tr w:rsidR="00B65351" w:rsidRPr="00645B37" w14:paraId="6D1EB30D" w14:textId="77777777" w:rsidTr="00795139">
        <w:trPr>
          <w:jc w:val="center"/>
        </w:trPr>
        <w:tc>
          <w:tcPr>
            <w:tcW w:w="3116" w:type="dxa"/>
          </w:tcPr>
          <w:p w14:paraId="1D5C9DB4" w14:textId="2FB9172F" w:rsidR="00B65351" w:rsidRPr="00645B37" w:rsidRDefault="00B65351" w:rsidP="008D1534">
            <w:pPr>
              <w:spacing w:line="276" w:lineRule="auto"/>
              <w:jc w:val="both"/>
            </w:pPr>
            <w:r w:rsidRPr="00645B37">
              <w:t>Samoa, Tonga, Cook Islands</w:t>
            </w:r>
          </w:p>
        </w:tc>
        <w:tc>
          <w:tcPr>
            <w:tcW w:w="3117" w:type="dxa"/>
          </w:tcPr>
          <w:p w14:paraId="051AB858" w14:textId="47F98DE2" w:rsidR="00B65351" w:rsidRPr="00645B37" w:rsidRDefault="00B65351" w:rsidP="008D1534">
            <w:pPr>
              <w:spacing w:line="276" w:lineRule="auto"/>
              <w:jc w:val="both"/>
            </w:pPr>
            <w:r>
              <w:t>Umu</w:t>
            </w:r>
          </w:p>
        </w:tc>
      </w:tr>
      <w:tr w:rsidR="00387AA0" w:rsidRPr="00645B37" w14:paraId="01134EE5" w14:textId="77777777" w:rsidTr="00795139">
        <w:trPr>
          <w:jc w:val="center"/>
        </w:trPr>
        <w:tc>
          <w:tcPr>
            <w:tcW w:w="3116" w:type="dxa"/>
          </w:tcPr>
          <w:p w14:paraId="78190828" w14:textId="475DC9A2" w:rsidR="00387AA0" w:rsidRPr="00645B37" w:rsidRDefault="00387AA0" w:rsidP="008D1534">
            <w:pPr>
              <w:spacing w:line="276" w:lineRule="auto"/>
              <w:jc w:val="both"/>
            </w:pPr>
            <w:r w:rsidRPr="00645B37">
              <w:t xml:space="preserve">Solomon Islands </w:t>
            </w:r>
          </w:p>
        </w:tc>
        <w:tc>
          <w:tcPr>
            <w:tcW w:w="3117" w:type="dxa"/>
          </w:tcPr>
          <w:p w14:paraId="735AE515" w14:textId="3E98276D" w:rsidR="00387AA0" w:rsidRPr="00645B37" w:rsidRDefault="00387AA0" w:rsidP="008D1534">
            <w:pPr>
              <w:spacing w:line="276" w:lineRule="auto"/>
              <w:jc w:val="both"/>
            </w:pPr>
            <w:r w:rsidRPr="00645B37">
              <w:t>Motu</w:t>
            </w:r>
          </w:p>
        </w:tc>
      </w:tr>
      <w:tr w:rsidR="00342AA1" w:rsidRPr="00645B37" w14:paraId="4F3D918F" w14:textId="77777777" w:rsidTr="00795139">
        <w:trPr>
          <w:jc w:val="center"/>
        </w:trPr>
        <w:tc>
          <w:tcPr>
            <w:tcW w:w="3116" w:type="dxa"/>
          </w:tcPr>
          <w:p w14:paraId="72F3546A" w14:textId="66008F3D" w:rsidR="00342AA1" w:rsidRPr="00645B37" w:rsidRDefault="00342AA1" w:rsidP="008D1534">
            <w:pPr>
              <w:spacing w:line="276" w:lineRule="auto"/>
              <w:jc w:val="both"/>
            </w:pPr>
            <w:r>
              <w:t>Tahiti</w:t>
            </w:r>
          </w:p>
        </w:tc>
        <w:tc>
          <w:tcPr>
            <w:tcW w:w="3117" w:type="dxa"/>
          </w:tcPr>
          <w:p w14:paraId="7BFA5FE3" w14:textId="62F81577" w:rsidR="00342AA1" w:rsidRPr="00645B37" w:rsidRDefault="00342AA1" w:rsidP="008D1534">
            <w:pPr>
              <w:spacing w:line="276" w:lineRule="auto"/>
              <w:jc w:val="both"/>
            </w:pPr>
            <w:r>
              <w:t>Ahima</w:t>
            </w:r>
            <w:r w:rsidR="00B65351">
              <w:t>’a</w:t>
            </w:r>
          </w:p>
        </w:tc>
      </w:tr>
      <w:tr w:rsidR="00223C1A" w:rsidRPr="00645B37" w14:paraId="11427B23" w14:textId="77777777" w:rsidTr="00795139">
        <w:trPr>
          <w:jc w:val="center"/>
        </w:trPr>
        <w:tc>
          <w:tcPr>
            <w:tcW w:w="3116" w:type="dxa"/>
          </w:tcPr>
          <w:p w14:paraId="44C031A9" w14:textId="7663B91B" w:rsidR="00223C1A" w:rsidRPr="00645B37" w:rsidRDefault="001248BB" w:rsidP="008D1534">
            <w:pPr>
              <w:spacing w:line="276" w:lineRule="auto"/>
              <w:jc w:val="both"/>
            </w:pPr>
            <w:r w:rsidRPr="00645B37">
              <w:t>Vanuatu</w:t>
            </w:r>
          </w:p>
        </w:tc>
        <w:tc>
          <w:tcPr>
            <w:tcW w:w="3117" w:type="dxa"/>
          </w:tcPr>
          <w:p w14:paraId="1C3DFDE8" w14:textId="732BE001" w:rsidR="005465E9" w:rsidRPr="00645B37" w:rsidRDefault="001248BB" w:rsidP="008D1534">
            <w:pPr>
              <w:spacing w:line="276" w:lineRule="auto"/>
              <w:jc w:val="both"/>
            </w:pPr>
            <w:r w:rsidRPr="00645B37">
              <w:t>Laplap</w:t>
            </w:r>
            <w:r w:rsidR="00645B37">
              <w:t xml:space="preserve">, </w:t>
            </w:r>
            <w:r w:rsidRPr="00645B37">
              <w:t>Bunia</w:t>
            </w:r>
            <w:r w:rsidR="00645B37">
              <w:t>,</w:t>
            </w:r>
            <w:r w:rsidRPr="00645B37">
              <w:t xml:space="preserve"> </w:t>
            </w:r>
            <w:r w:rsidR="005465E9" w:rsidRPr="00645B37">
              <w:t>Tuluk</w:t>
            </w:r>
          </w:p>
        </w:tc>
      </w:tr>
    </w:tbl>
    <w:p w14:paraId="188513C4" w14:textId="77777777" w:rsidR="00AB1EC3" w:rsidRPr="00645B37" w:rsidRDefault="00AB1EC3" w:rsidP="008D1534">
      <w:pPr>
        <w:spacing w:line="276" w:lineRule="auto"/>
        <w:jc w:val="both"/>
      </w:pPr>
    </w:p>
    <w:p w14:paraId="676FD96B" w14:textId="3042DC63" w:rsidR="00AB1EC3" w:rsidRPr="00645B37" w:rsidRDefault="00DC235C" w:rsidP="008D1534">
      <w:pPr>
        <w:spacing w:line="276" w:lineRule="auto"/>
        <w:jc w:val="both"/>
      </w:pPr>
      <w:r w:rsidRPr="00645B37">
        <w:t xml:space="preserve">In the </w:t>
      </w:r>
      <w:r w:rsidR="00645B37">
        <w:t>Pacific Islands</w:t>
      </w:r>
      <w:r w:rsidRPr="00645B37">
        <w:t>, c</w:t>
      </w:r>
      <w:r w:rsidR="00AB1EC3" w:rsidRPr="00645B37">
        <w:t xml:space="preserve">ooking food in underground ovens </w:t>
      </w:r>
      <w:r w:rsidR="00140144" w:rsidRPr="00645B37">
        <w:t>is</w:t>
      </w:r>
      <w:r w:rsidRPr="00645B37">
        <w:t xml:space="preserve"> an essential </w:t>
      </w:r>
      <w:r w:rsidR="00140144" w:rsidRPr="00645B37">
        <w:t>element</w:t>
      </w:r>
      <w:r w:rsidRPr="00645B37">
        <w:t xml:space="preserve"> </w:t>
      </w:r>
      <w:r w:rsidR="00140144" w:rsidRPr="00645B37">
        <w:t>of</w:t>
      </w:r>
      <w:r w:rsidRPr="00645B37">
        <w:t xml:space="preserve"> traditional community gatherings (e.g., </w:t>
      </w:r>
      <w:r w:rsidR="001248BB" w:rsidRPr="00645B37">
        <w:t xml:space="preserve">family gatherings, </w:t>
      </w:r>
      <w:r w:rsidRPr="00645B37">
        <w:t>festivals, weddings)</w:t>
      </w:r>
      <w:r w:rsidR="00140144" w:rsidRPr="00645B37">
        <w:t>, and is recognized as a valuable social, cultural, and historical heritage.</w:t>
      </w:r>
      <w:r w:rsidRPr="00645B37">
        <w:t xml:space="preserve"> </w:t>
      </w:r>
      <w:r w:rsidR="00140144" w:rsidRPr="00645B37">
        <w:t>Beyond the underground oven’s role within local communities</w:t>
      </w:r>
      <w:r w:rsidRPr="00645B37">
        <w:t xml:space="preserve">, the </w:t>
      </w:r>
      <w:r w:rsidR="00140144" w:rsidRPr="00645B37">
        <w:t xml:space="preserve">region’s </w:t>
      </w:r>
      <w:r w:rsidR="00386E1E">
        <w:t>hospitality</w:t>
      </w:r>
      <w:r w:rsidRPr="00645B37">
        <w:t xml:space="preserve"> industry </w:t>
      </w:r>
      <w:r w:rsidR="00140144" w:rsidRPr="00645B37">
        <w:t xml:space="preserve">regularly </w:t>
      </w:r>
      <w:r w:rsidRPr="00645B37">
        <w:t>includes this tradition in events aiming at introducing visitors to local cuisine and culture</w:t>
      </w:r>
      <w:r w:rsidR="00760CCC">
        <w:t xml:space="preserve"> </w:t>
      </w:r>
      <w:r w:rsidR="00760CCC" w:rsidRPr="00645B37">
        <w:t>(e.g., lovo nights in hotels)</w:t>
      </w:r>
      <w:r w:rsidRPr="00645B37">
        <w:t xml:space="preserve"> (</w:t>
      </w:r>
      <w:r w:rsidR="00140144" w:rsidRPr="00645B37">
        <w:t xml:space="preserve">Chong &amp; Stephenson, 2022). </w:t>
      </w:r>
      <w:r w:rsidR="00AA3F76">
        <w:t>In these cases, rather than the underground oven being part of a social event, it becomes the center of the event itself (</w:t>
      </w:r>
      <w:r w:rsidR="00AA3F76" w:rsidRPr="0029056A">
        <w:t>Richardson, 2025).</w:t>
      </w:r>
      <w:r w:rsidR="00AA3F76">
        <w:t xml:space="preserve"> </w:t>
      </w:r>
      <w:r w:rsidR="004B2D26">
        <w:t>Thus</w:t>
      </w:r>
      <w:r w:rsidR="00AA3F76">
        <w:t xml:space="preserve">, </w:t>
      </w:r>
      <w:r w:rsidR="004B2D26">
        <w:t xml:space="preserve">considering the evolving purpose of underground cooking (e.g., from </w:t>
      </w:r>
      <w:r w:rsidR="008E41DD">
        <w:t>household</w:t>
      </w:r>
      <w:r w:rsidR="00050858">
        <w:t>/community</w:t>
      </w:r>
      <w:r w:rsidR="008E41DD">
        <w:t xml:space="preserve"> use</w:t>
      </w:r>
      <w:r w:rsidR="004B2D26">
        <w:t xml:space="preserve"> to commercial events), </w:t>
      </w:r>
      <w:r w:rsidR="003F12E0" w:rsidRPr="00645B37">
        <w:t xml:space="preserve">the effects of globalization and </w:t>
      </w:r>
      <w:r w:rsidR="004929C0" w:rsidRPr="00645B37">
        <w:t xml:space="preserve">westernization </w:t>
      </w:r>
      <w:r w:rsidR="003F12E0" w:rsidRPr="00645B37">
        <w:t>of food and culinary habits (Chong &amp; Stephenson, 2022)</w:t>
      </w:r>
      <w:r w:rsidR="001B5CE8">
        <w:t>,</w:t>
      </w:r>
      <w:r w:rsidR="00AA3F76">
        <w:t xml:space="preserve"> as well </w:t>
      </w:r>
      <w:r w:rsidR="00AA3F76">
        <w:lastRenderedPageBreak/>
        <w:t xml:space="preserve">as the increasing availability of </w:t>
      </w:r>
      <w:r w:rsidR="00386E1E">
        <w:t>quicker</w:t>
      </w:r>
      <w:r w:rsidR="001B5CE8">
        <w:t xml:space="preserve"> options </w:t>
      </w:r>
      <w:r w:rsidR="008E41DD">
        <w:t>based on</w:t>
      </w:r>
      <w:r w:rsidR="001B5CE8">
        <w:t xml:space="preserve"> </w:t>
      </w:r>
      <w:r w:rsidR="00AA3F76">
        <w:t xml:space="preserve">modern equipment </w:t>
      </w:r>
      <w:r w:rsidR="001B5CE8">
        <w:t xml:space="preserve">(e.g., steamer type hangi) </w:t>
      </w:r>
      <w:r w:rsidR="00AA3F76">
        <w:t>(</w:t>
      </w:r>
      <w:r w:rsidR="001B5CE8">
        <w:t>Richardson, 2025)</w:t>
      </w:r>
      <w:r w:rsidR="004B2D26">
        <w:t>, p</w:t>
      </w:r>
      <w:r w:rsidR="004B2D26" w:rsidRPr="00645B37">
        <w:t xml:space="preserve">reserving </w:t>
      </w:r>
      <w:r w:rsidR="004B2D26">
        <w:t>indigenous culinary techniques</w:t>
      </w:r>
      <w:r w:rsidR="004B2D26" w:rsidRPr="00645B37">
        <w:t xml:space="preserve"> is of utmost importance</w:t>
      </w:r>
      <w:r w:rsidR="004B2D26">
        <w:t>.</w:t>
      </w:r>
    </w:p>
    <w:p w14:paraId="58E58EAA" w14:textId="77777777" w:rsidR="003F12E0" w:rsidRPr="00645B37" w:rsidRDefault="003F12E0" w:rsidP="008D1534">
      <w:pPr>
        <w:spacing w:line="276" w:lineRule="auto"/>
        <w:jc w:val="both"/>
      </w:pPr>
    </w:p>
    <w:p w14:paraId="0543A1E6" w14:textId="224F8D37" w:rsidR="008E41DD" w:rsidRPr="008E41DD" w:rsidRDefault="003F12E0" w:rsidP="008D1534">
      <w:pPr>
        <w:spacing w:line="276" w:lineRule="auto"/>
        <w:jc w:val="both"/>
      </w:pPr>
      <w:r w:rsidRPr="00645B37">
        <w:t>Food regulatory authorities, however, face a dilemma</w:t>
      </w:r>
      <w:r w:rsidR="00013807" w:rsidRPr="00645B37">
        <w:t>.</w:t>
      </w:r>
      <w:r w:rsidRPr="00645B37">
        <w:t xml:space="preserve"> </w:t>
      </w:r>
      <w:r w:rsidR="00013807" w:rsidRPr="00645B37">
        <w:t>Th</w:t>
      </w:r>
      <w:r w:rsidRPr="00645B37">
        <w:t>ey should encourage and support the production of local traditional foods</w:t>
      </w:r>
      <w:r w:rsidR="006D68B8">
        <w:t>.</w:t>
      </w:r>
      <w:r w:rsidR="001B5CE8">
        <w:t xml:space="preserve"> </w:t>
      </w:r>
      <w:r w:rsidR="006D68B8">
        <w:t>Yet</w:t>
      </w:r>
      <w:r w:rsidR="001B5CE8">
        <w:t>, these foods</w:t>
      </w:r>
      <w:r w:rsidRPr="00645B37">
        <w:t xml:space="preserve"> may not be produced in compliance with safety and/or hygiene </w:t>
      </w:r>
      <w:r w:rsidR="001B5CE8">
        <w:t>best practices</w:t>
      </w:r>
      <w:r w:rsidRPr="00645B37">
        <w:t xml:space="preserve"> </w:t>
      </w:r>
      <w:r w:rsidR="002E450D" w:rsidRPr="00645B37">
        <w:t xml:space="preserve">and thus, </w:t>
      </w:r>
      <w:r w:rsidR="004929C0" w:rsidRPr="00645B37">
        <w:t>are considered a consumer risk under conventionally accepted food safety standards</w:t>
      </w:r>
      <w:r w:rsidR="002E450D" w:rsidRPr="00645B37">
        <w:t xml:space="preserve"> </w:t>
      </w:r>
      <w:r w:rsidRPr="00645B37">
        <w:t xml:space="preserve">(Benkerroum, 2013). </w:t>
      </w:r>
      <w:r w:rsidR="002E450D" w:rsidRPr="00645B37">
        <w:t>T</w:t>
      </w:r>
      <w:r w:rsidRPr="00645B37">
        <w:t>he risk posed by traditional foods</w:t>
      </w:r>
      <w:r w:rsidR="006D68B8">
        <w:t xml:space="preserve"> </w:t>
      </w:r>
      <w:r w:rsidRPr="00645B37">
        <w:t>of different regions has n</w:t>
      </w:r>
      <w:r w:rsidR="002E450D" w:rsidRPr="00645B37">
        <w:t>ot</w:t>
      </w:r>
      <w:r w:rsidRPr="00645B37">
        <w:t xml:space="preserve"> been formally estimated</w:t>
      </w:r>
      <w:r w:rsidR="002E450D" w:rsidRPr="00645B37">
        <w:t xml:space="preserve">, </w:t>
      </w:r>
      <w:r w:rsidRPr="00645B37">
        <w:t>mainly due to the lack of consumption and epidemiological data, as well as appropriate surveillance programs (Benkerroum, 2013)</w:t>
      </w:r>
      <w:r w:rsidR="002E450D" w:rsidRPr="00645B37">
        <w:t>. Nevertheless,</w:t>
      </w:r>
      <w:r w:rsidRPr="00645B37">
        <w:t xml:space="preserve"> it is generally assumed that traditional foods, compared with prepackaged industrial foods, are produced under </w:t>
      </w:r>
      <w:r w:rsidR="0077363D" w:rsidRPr="00645B37">
        <w:t>less</w:t>
      </w:r>
      <w:r w:rsidRPr="00645B37">
        <w:t xml:space="preserve"> hygienic conditions and without clearly defined control measures</w:t>
      </w:r>
      <w:r w:rsidR="00BF4D5B" w:rsidRPr="00645B37">
        <w:t xml:space="preserve"> (van der Meulen et al., 2016)</w:t>
      </w:r>
      <w:r w:rsidRPr="00645B37">
        <w:t xml:space="preserve">. </w:t>
      </w:r>
      <w:r w:rsidR="008E41DD">
        <w:t xml:space="preserve">Furthermore, indigenous cooking methods are not standardized, with important variations noted from one region to another (e.g., different types of mumus in different parts of Papua New Guinea </w:t>
      </w:r>
      <w:r w:rsidR="008E41DD" w:rsidRPr="0029056A">
        <w:t>– Sopade, 20</w:t>
      </w:r>
      <w:r w:rsidR="00072A2C" w:rsidRPr="0029056A">
        <w:t>13</w:t>
      </w:r>
      <w:r w:rsidR="00C81B16" w:rsidRPr="0029056A">
        <w:t>;</w:t>
      </w:r>
      <w:r w:rsidR="00C81B16">
        <w:t xml:space="preserve"> different types of making a hangi </w:t>
      </w:r>
      <w:r w:rsidR="006D68B8">
        <w:t>among</w:t>
      </w:r>
      <w:r w:rsidR="00C81B16">
        <w:t xml:space="preserve"> different families</w:t>
      </w:r>
      <w:r w:rsidR="006D68B8">
        <w:t xml:space="preserve"> in New Zealand</w:t>
      </w:r>
      <w:r w:rsidR="00C81B16">
        <w:t xml:space="preserve"> – Richardson, 2025</w:t>
      </w:r>
      <w:r w:rsidR="008E41DD">
        <w:t>), and are rarely formally documented, which presents an important challenge for the development of generic guidance.</w:t>
      </w:r>
    </w:p>
    <w:p w14:paraId="751DAEE4" w14:textId="77777777" w:rsidR="00AB1EC3" w:rsidRPr="00645B37" w:rsidRDefault="00AB1EC3" w:rsidP="008D1534">
      <w:pPr>
        <w:spacing w:line="276" w:lineRule="auto"/>
        <w:jc w:val="both"/>
      </w:pPr>
    </w:p>
    <w:p w14:paraId="79CBCA93" w14:textId="1F8C510E" w:rsidR="00223C1A" w:rsidRPr="00645B37" w:rsidRDefault="00223C1A" w:rsidP="008D1534">
      <w:pPr>
        <w:spacing w:line="276" w:lineRule="auto"/>
        <w:jc w:val="both"/>
      </w:pPr>
      <w:r w:rsidRPr="00645B37">
        <w:t xml:space="preserve">Thus, an assessment of </w:t>
      </w:r>
      <w:r w:rsidR="00912C20" w:rsidRPr="00645B37">
        <w:t>potential food safety concerns</w:t>
      </w:r>
      <w:r w:rsidRPr="00645B37">
        <w:t xml:space="preserve"> associated with </w:t>
      </w:r>
      <w:r w:rsidR="00BF4D5B" w:rsidRPr="00645B37">
        <w:t>foods cooked</w:t>
      </w:r>
      <w:r w:rsidRPr="00645B37">
        <w:t xml:space="preserve"> in underground ovens, according </w:t>
      </w:r>
      <w:r w:rsidRPr="001B5CE8">
        <w:t>to Pacific</w:t>
      </w:r>
      <w:r w:rsidR="001B5CE8" w:rsidRPr="001B5CE8">
        <w:t xml:space="preserve"> Islands</w:t>
      </w:r>
      <w:r w:rsidRPr="00645B37">
        <w:t xml:space="preserve"> practices, would </w:t>
      </w:r>
      <w:r w:rsidR="000C7F84" w:rsidRPr="00645B37">
        <w:t xml:space="preserve">contribute to </w:t>
      </w:r>
      <w:r w:rsidR="00912C20" w:rsidRPr="00645B37">
        <w:t>the identification of control measures adapted to th</w:t>
      </w:r>
      <w:r w:rsidR="00013807" w:rsidRPr="00645B37">
        <w:t>ese</w:t>
      </w:r>
      <w:r w:rsidR="00912C20" w:rsidRPr="00645B37">
        <w:t xml:space="preserve"> foods and </w:t>
      </w:r>
      <w:r w:rsidR="004929C0" w:rsidRPr="00645B37">
        <w:t xml:space="preserve">their preparation </w:t>
      </w:r>
      <w:r w:rsidR="00912C20" w:rsidRPr="00645B37">
        <w:t>process</w:t>
      </w:r>
      <w:r w:rsidR="004929C0" w:rsidRPr="00645B37">
        <w:t>es</w:t>
      </w:r>
      <w:r w:rsidR="00013807" w:rsidRPr="00645B37">
        <w:t>, the mitigation of the risk for consumers, and the preservation of this tradition.</w:t>
      </w:r>
    </w:p>
    <w:p w14:paraId="618474DE" w14:textId="77777777" w:rsidR="00223C1A" w:rsidRPr="00645B37" w:rsidRDefault="00223C1A" w:rsidP="008D1534">
      <w:pPr>
        <w:spacing w:line="276" w:lineRule="auto"/>
        <w:jc w:val="both"/>
      </w:pPr>
    </w:p>
    <w:p w14:paraId="57F293D7" w14:textId="5CC5E64C" w:rsidR="000C7F84" w:rsidRPr="00FB769B" w:rsidRDefault="0077363D" w:rsidP="00FB769B">
      <w:pPr>
        <w:pStyle w:val="ListParagraph"/>
        <w:numPr>
          <w:ilvl w:val="0"/>
          <w:numId w:val="9"/>
        </w:numPr>
        <w:spacing w:line="276" w:lineRule="auto"/>
        <w:jc w:val="both"/>
        <w:rPr>
          <w:rFonts w:ascii="Times New Roman" w:hAnsi="Times New Roman" w:cs="Times New Roman"/>
          <w:b/>
          <w:bCs/>
        </w:rPr>
      </w:pPr>
      <w:r w:rsidRPr="00FB769B">
        <w:rPr>
          <w:rFonts w:ascii="Times New Roman" w:hAnsi="Times New Roman" w:cs="Times New Roman"/>
          <w:b/>
          <w:bCs/>
        </w:rPr>
        <w:t xml:space="preserve">Underground </w:t>
      </w:r>
      <w:r w:rsidR="00FB769B" w:rsidRPr="00FB769B">
        <w:rPr>
          <w:rFonts w:ascii="Times New Roman" w:hAnsi="Times New Roman" w:cs="Times New Roman"/>
          <w:b/>
          <w:bCs/>
        </w:rPr>
        <w:t>c</w:t>
      </w:r>
      <w:r w:rsidRPr="00FB769B">
        <w:rPr>
          <w:rFonts w:ascii="Times New Roman" w:hAnsi="Times New Roman" w:cs="Times New Roman"/>
          <w:b/>
          <w:bCs/>
        </w:rPr>
        <w:t xml:space="preserve">ooking </w:t>
      </w:r>
      <w:r w:rsidR="00FB769B" w:rsidRPr="00FB769B">
        <w:rPr>
          <w:rFonts w:ascii="Times New Roman" w:hAnsi="Times New Roman" w:cs="Times New Roman"/>
          <w:b/>
          <w:bCs/>
        </w:rPr>
        <w:t>p</w:t>
      </w:r>
      <w:r w:rsidR="000C7F84" w:rsidRPr="00FB769B">
        <w:rPr>
          <w:rFonts w:ascii="Times New Roman" w:hAnsi="Times New Roman" w:cs="Times New Roman"/>
          <w:b/>
          <w:bCs/>
        </w:rPr>
        <w:t xml:space="preserve">rocessing </w:t>
      </w:r>
      <w:r w:rsidR="00FB769B" w:rsidRPr="00FB769B">
        <w:rPr>
          <w:rFonts w:ascii="Times New Roman" w:hAnsi="Times New Roman" w:cs="Times New Roman"/>
          <w:b/>
          <w:bCs/>
        </w:rPr>
        <w:t>s</w:t>
      </w:r>
      <w:r w:rsidR="000C7F84" w:rsidRPr="00FB769B">
        <w:rPr>
          <w:rFonts w:ascii="Times New Roman" w:hAnsi="Times New Roman" w:cs="Times New Roman"/>
          <w:b/>
          <w:bCs/>
        </w:rPr>
        <w:t>teps</w:t>
      </w:r>
    </w:p>
    <w:p w14:paraId="3EC8AF9A" w14:textId="77777777" w:rsidR="00223C1A" w:rsidRPr="00645B37" w:rsidRDefault="00223C1A" w:rsidP="008D1534">
      <w:pPr>
        <w:spacing w:line="276" w:lineRule="auto"/>
        <w:jc w:val="both"/>
      </w:pPr>
    </w:p>
    <w:p w14:paraId="4C4BF516" w14:textId="5824B002" w:rsidR="00FB2899" w:rsidRPr="00645B37" w:rsidRDefault="00523A70" w:rsidP="008D1534">
      <w:pPr>
        <w:spacing w:line="276" w:lineRule="auto"/>
        <w:jc w:val="both"/>
      </w:pPr>
      <w:r>
        <w:t xml:space="preserve">Generally, </w:t>
      </w:r>
      <w:r w:rsidR="00AB1EC3" w:rsidRPr="00645B37">
        <w:t xml:space="preserve">underground ovens are </w:t>
      </w:r>
      <w:r w:rsidR="00BF4D5B" w:rsidRPr="00645B37">
        <w:t xml:space="preserve">prepared by digging a pit, </w:t>
      </w:r>
      <w:r w:rsidR="004929C0" w:rsidRPr="00645B37">
        <w:t xml:space="preserve">lining the bottom of the pit with stones, </w:t>
      </w:r>
      <w:r w:rsidR="00BF4D5B" w:rsidRPr="00645B37">
        <w:t xml:space="preserve">heating stones on burning logs, </w:t>
      </w:r>
      <w:r w:rsidR="003E1A72" w:rsidRPr="00645B37">
        <w:t xml:space="preserve">placing the food in the oven on a layer of </w:t>
      </w:r>
      <w:r w:rsidR="00B9218A" w:rsidRPr="00645B37">
        <w:t>plant materials</w:t>
      </w:r>
      <w:r w:rsidR="003E1A72" w:rsidRPr="00645B37">
        <w:t xml:space="preserve"> or wrapped in leaves</w:t>
      </w:r>
      <w:r w:rsidR="00BF4D5B" w:rsidRPr="00645B37">
        <w:t xml:space="preserve">, and covering the pit with earth </w:t>
      </w:r>
      <w:r w:rsidR="003E1A72" w:rsidRPr="00645B37">
        <w:t>for the duration of</w:t>
      </w:r>
      <w:r w:rsidR="00BF4D5B" w:rsidRPr="00645B37">
        <w:t xml:space="preserve"> the cooking </w:t>
      </w:r>
      <w:r w:rsidR="003E1A72" w:rsidRPr="00645B37">
        <w:t>process</w:t>
      </w:r>
      <w:r w:rsidR="00BF4D5B" w:rsidRPr="00645B37">
        <w:t xml:space="preserve"> (Shah et al., 2018; Chong &amp; Stephenson, </w:t>
      </w:r>
      <w:r w:rsidR="00A03CDF" w:rsidRPr="00645B37">
        <w:t>2022</w:t>
      </w:r>
      <w:r w:rsidR="00BF4D5B" w:rsidRPr="00645B37">
        <w:t>).</w:t>
      </w:r>
      <w:r w:rsidR="00A03CDF" w:rsidRPr="00645B37">
        <w:t xml:space="preserve"> </w:t>
      </w:r>
      <w:r>
        <w:t xml:space="preserve">Variations are also possible, notably, </w:t>
      </w:r>
      <w:r w:rsidR="00E903EE">
        <w:t xml:space="preserve">in the materials used (e.g., types of stones, use of coral instead or along with stones, types of plant materials), </w:t>
      </w:r>
      <w:r>
        <w:t>in the arrangement of the stones, type of food wrapping, type of oven covering</w:t>
      </w:r>
      <w:r w:rsidR="008F33C8">
        <w:t>, etc</w:t>
      </w:r>
      <w:r>
        <w:t>.</w:t>
      </w:r>
      <w:r w:rsidR="000C53A4">
        <w:t xml:space="preserve"> which can influence the nature and efficiency of the heating process.</w:t>
      </w:r>
      <w:r>
        <w:t xml:space="preserve"> </w:t>
      </w:r>
      <w:commentRangeStart w:id="1"/>
      <w:r w:rsidR="00E903EE">
        <w:t>U</w:t>
      </w:r>
      <w:r w:rsidR="000C53A4">
        <w:t>nderground</w:t>
      </w:r>
      <w:r w:rsidR="00FB2899" w:rsidRPr="00645B37">
        <w:t xml:space="preserve"> </w:t>
      </w:r>
      <w:r w:rsidR="000C53A4">
        <w:t>oven cooking</w:t>
      </w:r>
      <w:r w:rsidR="00FB2899" w:rsidRPr="00645B37">
        <w:t xml:space="preserve"> </w:t>
      </w:r>
      <w:r>
        <w:t xml:space="preserve">is considered similar to baking (Sopade, 2013), </w:t>
      </w:r>
      <w:commentRangeEnd w:id="1"/>
      <w:r w:rsidR="001D2BA5">
        <w:rPr>
          <w:rStyle w:val="CommentReference"/>
          <w:sz w:val="24"/>
          <w:szCs w:val="24"/>
        </w:rPr>
        <w:commentReference w:id="1"/>
      </w:r>
      <w:r w:rsidR="00E14345">
        <w:t>relying</w:t>
      </w:r>
      <w:r w:rsidR="00E14345" w:rsidRPr="00645B37">
        <w:t xml:space="preserve"> on </w:t>
      </w:r>
      <w:r w:rsidR="00E14345">
        <w:t>heat transfer to food through contact with hot air (convection), hot s</w:t>
      </w:r>
      <w:r w:rsidR="007D306E">
        <w:t>tones</w:t>
      </w:r>
      <w:r w:rsidR="00E14345">
        <w:t xml:space="preserve"> (conduction), and</w:t>
      </w:r>
      <w:r w:rsidR="00E14345" w:rsidRPr="00645B37">
        <w:t xml:space="preserve"> steam</w:t>
      </w:r>
      <w:r w:rsidR="007D306E">
        <w:t xml:space="preserve"> (depending on the amount of plant materials used)</w:t>
      </w:r>
      <w:r w:rsidR="00E14345" w:rsidRPr="00645B37">
        <w:t>.</w:t>
      </w:r>
      <w:r w:rsidR="00E14345">
        <w:t xml:space="preserve"> </w:t>
      </w:r>
    </w:p>
    <w:p w14:paraId="7EB036B2" w14:textId="77777777" w:rsidR="00FB2899" w:rsidRPr="00645B37" w:rsidRDefault="00FB2899" w:rsidP="008D1534">
      <w:pPr>
        <w:spacing w:line="276" w:lineRule="auto"/>
        <w:jc w:val="both"/>
      </w:pPr>
    </w:p>
    <w:p w14:paraId="1C56215D" w14:textId="74A301B7" w:rsidR="00E83CC0" w:rsidRDefault="00FB2899" w:rsidP="008D1534">
      <w:pPr>
        <w:spacing w:line="276" w:lineRule="auto"/>
        <w:jc w:val="both"/>
      </w:pPr>
      <w:r w:rsidRPr="00645B37">
        <w:t>Preparing food in an underground oven is a</w:t>
      </w:r>
      <w:r w:rsidR="003E1A72" w:rsidRPr="00645B37">
        <w:t xml:space="preserve"> lengthy process involving several steps</w:t>
      </w:r>
      <w:r w:rsidR="00C81B16">
        <w:t>. The technique relies on knowledge gained through experience</w:t>
      </w:r>
      <w:r w:rsidR="003455BD">
        <w:t xml:space="preserve"> from </w:t>
      </w:r>
      <w:r w:rsidR="00C81B16">
        <w:t xml:space="preserve">observation and participation </w:t>
      </w:r>
      <w:r w:rsidR="00E903EE">
        <w:t xml:space="preserve">within the community </w:t>
      </w:r>
      <w:r w:rsidR="00C81B16">
        <w:t xml:space="preserve">(Richardson, 2025). The main steps can be described as follows </w:t>
      </w:r>
      <w:r w:rsidRPr="00645B37">
        <w:t>(</w:t>
      </w:r>
      <w:r w:rsidR="00C81B16">
        <w:t xml:space="preserve">Sopade, 2000; </w:t>
      </w:r>
      <w:r w:rsidR="0029056A">
        <w:t>Alfred</w:t>
      </w:r>
      <w:r w:rsidR="00C81B16" w:rsidRPr="0029056A">
        <w:t>, 2003;</w:t>
      </w:r>
      <w:r w:rsidR="00C81B16">
        <w:t xml:space="preserve"> Sopade, 2013; </w:t>
      </w:r>
      <w:r w:rsidR="005C0887" w:rsidRPr="00645B37">
        <w:t>Sellars &amp; Heggie, 2005</w:t>
      </w:r>
      <w:r w:rsidR="00A0508E" w:rsidRPr="00645B37">
        <w:t>; Labiste, 2013</w:t>
      </w:r>
      <w:r w:rsidRPr="00645B37">
        <w:t>)</w:t>
      </w:r>
      <w:r w:rsidR="00C81B16">
        <w:t>:</w:t>
      </w:r>
      <w:r w:rsidR="00E83CC0">
        <w:t xml:space="preserve"> </w:t>
      </w:r>
    </w:p>
    <w:p w14:paraId="61CD8D78" w14:textId="5A329334" w:rsidR="00AB1EC3" w:rsidRPr="00645B37" w:rsidRDefault="003E1A72" w:rsidP="008D1534">
      <w:pPr>
        <w:spacing w:line="276" w:lineRule="auto"/>
        <w:jc w:val="both"/>
      </w:pPr>
      <w:r w:rsidRPr="00645B37">
        <w:t xml:space="preserve"> </w:t>
      </w:r>
    </w:p>
    <w:p w14:paraId="14820FF1" w14:textId="77777777" w:rsidR="00BF4D5B" w:rsidRPr="00645B37" w:rsidRDefault="00BF4D5B" w:rsidP="008D1534">
      <w:pPr>
        <w:spacing w:line="276" w:lineRule="auto"/>
        <w:jc w:val="both"/>
      </w:pPr>
    </w:p>
    <w:p w14:paraId="3BD4D5E7" w14:textId="5384D11C" w:rsidR="00FB2899" w:rsidRPr="00645B37" w:rsidRDefault="008973C6" w:rsidP="008D1534">
      <w:pPr>
        <w:pStyle w:val="ListParagraph"/>
        <w:numPr>
          <w:ilvl w:val="0"/>
          <w:numId w:val="4"/>
        </w:numPr>
        <w:spacing w:line="276" w:lineRule="auto"/>
        <w:jc w:val="both"/>
        <w:rPr>
          <w:rFonts w:ascii="Times New Roman" w:hAnsi="Times New Roman" w:cs="Times New Roman"/>
        </w:rPr>
      </w:pPr>
      <w:r w:rsidRPr="00645B37">
        <w:rPr>
          <w:rFonts w:ascii="Times New Roman" w:hAnsi="Times New Roman" w:cs="Times New Roman"/>
        </w:rPr>
        <w:t>O</w:t>
      </w:r>
      <w:r w:rsidR="00FB2899" w:rsidRPr="00645B37">
        <w:rPr>
          <w:rFonts w:ascii="Times New Roman" w:hAnsi="Times New Roman" w:cs="Times New Roman"/>
        </w:rPr>
        <w:t>ven</w:t>
      </w:r>
      <w:r w:rsidRPr="00645B37">
        <w:rPr>
          <w:rFonts w:ascii="Times New Roman" w:hAnsi="Times New Roman" w:cs="Times New Roman"/>
        </w:rPr>
        <w:t xml:space="preserve"> design and construction</w:t>
      </w:r>
    </w:p>
    <w:p w14:paraId="435A9016" w14:textId="568B8747" w:rsidR="00AB1EC3" w:rsidRPr="00645B37" w:rsidRDefault="00AB1EC3" w:rsidP="008D1534">
      <w:pPr>
        <w:pStyle w:val="ListParagraph"/>
        <w:numPr>
          <w:ilvl w:val="0"/>
          <w:numId w:val="1"/>
        </w:numPr>
        <w:spacing w:line="276" w:lineRule="auto"/>
        <w:jc w:val="both"/>
        <w:rPr>
          <w:rFonts w:ascii="Times New Roman" w:hAnsi="Times New Roman" w:cs="Times New Roman"/>
        </w:rPr>
      </w:pPr>
      <w:r w:rsidRPr="00645B37">
        <w:rPr>
          <w:rFonts w:ascii="Times New Roman" w:hAnsi="Times New Roman" w:cs="Times New Roman"/>
        </w:rPr>
        <w:t>A round pit</w:t>
      </w:r>
      <w:r w:rsidR="00CB54B2" w:rsidRPr="00645B37">
        <w:rPr>
          <w:rFonts w:ascii="Times New Roman" w:hAnsi="Times New Roman" w:cs="Times New Roman"/>
        </w:rPr>
        <w:t xml:space="preserve"> with sloping sides is dug onto the earth, </w:t>
      </w:r>
      <w:r w:rsidR="00C05314" w:rsidRPr="00645B37">
        <w:rPr>
          <w:rFonts w:ascii="Times New Roman" w:hAnsi="Times New Roman" w:cs="Times New Roman"/>
        </w:rPr>
        <w:t>to</w:t>
      </w:r>
      <w:r w:rsidR="00CB54B2" w:rsidRPr="00645B37">
        <w:rPr>
          <w:rFonts w:ascii="Times New Roman" w:hAnsi="Times New Roman" w:cs="Times New Roman"/>
        </w:rPr>
        <w:t xml:space="preserve"> a depth of 0.5-1.5 m. The depth and the diameter of the pit will vary depending on the amount of food to be cooked, as it must be large enough to contain the food, the stones, and the plant materials.</w:t>
      </w:r>
    </w:p>
    <w:p w14:paraId="3950FD66" w14:textId="3E644AD4" w:rsidR="00CB54B2" w:rsidRPr="00645B37" w:rsidRDefault="00CB54B2" w:rsidP="008D1534">
      <w:pPr>
        <w:pStyle w:val="ListParagraph"/>
        <w:numPr>
          <w:ilvl w:val="0"/>
          <w:numId w:val="1"/>
        </w:numPr>
        <w:spacing w:line="276" w:lineRule="auto"/>
        <w:jc w:val="both"/>
        <w:rPr>
          <w:rFonts w:ascii="Times New Roman" w:hAnsi="Times New Roman" w:cs="Times New Roman"/>
        </w:rPr>
      </w:pPr>
      <w:r w:rsidRPr="00645B37">
        <w:rPr>
          <w:rFonts w:ascii="Times New Roman" w:hAnsi="Times New Roman" w:cs="Times New Roman"/>
        </w:rPr>
        <w:t>The excavated earth is placed near the pit</w:t>
      </w:r>
      <w:r w:rsidR="00C17D69" w:rsidRPr="00645B37">
        <w:rPr>
          <w:rFonts w:ascii="Times New Roman" w:hAnsi="Times New Roman" w:cs="Times New Roman"/>
        </w:rPr>
        <w:t xml:space="preserve"> (</w:t>
      </w:r>
      <w:r w:rsidRPr="00645B37">
        <w:rPr>
          <w:rFonts w:ascii="Times New Roman" w:hAnsi="Times New Roman" w:cs="Times New Roman"/>
        </w:rPr>
        <w:t>it will be used later for covering</w:t>
      </w:r>
      <w:r w:rsidR="005B2F09" w:rsidRPr="00645B37">
        <w:rPr>
          <w:rFonts w:ascii="Times New Roman" w:hAnsi="Times New Roman" w:cs="Times New Roman"/>
        </w:rPr>
        <w:t>)</w:t>
      </w:r>
      <w:r w:rsidRPr="00645B37">
        <w:rPr>
          <w:rFonts w:ascii="Times New Roman" w:hAnsi="Times New Roman" w:cs="Times New Roman"/>
        </w:rPr>
        <w:t>.</w:t>
      </w:r>
    </w:p>
    <w:p w14:paraId="3CB5E5DA" w14:textId="7B595F15" w:rsidR="00CB54B2" w:rsidRPr="00645B37" w:rsidRDefault="00CB54B2"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Kindling material (e.g., small branches) is placed at the bottom center of the pit.</w:t>
      </w:r>
    </w:p>
    <w:p w14:paraId="010CC3DD" w14:textId="042D270B" w:rsidR="00CB54B2" w:rsidRPr="00645B37" w:rsidRDefault="00CB54B2" w:rsidP="008D1534">
      <w:pPr>
        <w:pStyle w:val="ListParagraph"/>
        <w:numPr>
          <w:ilvl w:val="0"/>
          <w:numId w:val="1"/>
        </w:numPr>
        <w:spacing w:line="276" w:lineRule="auto"/>
        <w:jc w:val="both"/>
        <w:rPr>
          <w:rFonts w:ascii="Times New Roman" w:hAnsi="Times New Roman" w:cs="Times New Roman"/>
        </w:rPr>
      </w:pPr>
      <w:r w:rsidRPr="00645B37">
        <w:rPr>
          <w:rFonts w:ascii="Times New Roman" w:hAnsi="Times New Roman" w:cs="Times New Roman"/>
        </w:rPr>
        <w:t xml:space="preserve">Larger wood (e.g., </w:t>
      </w:r>
      <w:r w:rsidR="00152C78" w:rsidRPr="00645B37">
        <w:rPr>
          <w:rFonts w:ascii="Times New Roman" w:hAnsi="Times New Roman" w:cs="Times New Roman"/>
        </w:rPr>
        <w:t xml:space="preserve">dry </w:t>
      </w:r>
      <w:r w:rsidRPr="00645B37">
        <w:rPr>
          <w:rFonts w:ascii="Times New Roman" w:hAnsi="Times New Roman" w:cs="Times New Roman"/>
        </w:rPr>
        <w:t>hardwood) is placed around the kindling material.</w:t>
      </w:r>
    </w:p>
    <w:p w14:paraId="6C91B96D" w14:textId="5F321A45" w:rsidR="00CB54B2" w:rsidRPr="00645B37" w:rsidRDefault="00CB54B2" w:rsidP="008D1534">
      <w:pPr>
        <w:pStyle w:val="ListParagraph"/>
        <w:numPr>
          <w:ilvl w:val="0"/>
          <w:numId w:val="1"/>
        </w:numPr>
        <w:spacing w:line="276" w:lineRule="auto"/>
        <w:jc w:val="both"/>
        <w:rPr>
          <w:rFonts w:ascii="Times New Roman" w:hAnsi="Times New Roman" w:cs="Times New Roman"/>
        </w:rPr>
      </w:pPr>
      <w:r w:rsidRPr="00645B37">
        <w:rPr>
          <w:rFonts w:ascii="Times New Roman" w:hAnsi="Times New Roman" w:cs="Times New Roman"/>
        </w:rPr>
        <w:t xml:space="preserve">Stones </w:t>
      </w:r>
      <w:r w:rsidR="001D2BA5" w:rsidRPr="00645B37">
        <w:rPr>
          <w:rFonts w:ascii="Times New Roman" w:hAnsi="Times New Roman" w:cs="Times New Roman"/>
        </w:rPr>
        <w:t>(e.g., basalt)</w:t>
      </w:r>
      <w:r w:rsidR="001D2BA5">
        <w:t xml:space="preserve"> </w:t>
      </w:r>
      <w:r w:rsidR="004F3816" w:rsidRPr="00645B37">
        <w:rPr>
          <w:rFonts w:ascii="Times New Roman" w:hAnsi="Times New Roman" w:cs="Times New Roman"/>
        </w:rPr>
        <w:t xml:space="preserve">the </w:t>
      </w:r>
      <w:r w:rsidRPr="00645B37">
        <w:rPr>
          <w:rFonts w:ascii="Times New Roman" w:hAnsi="Times New Roman" w:cs="Times New Roman"/>
        </w:rPr>
        <w:t xml:space="preserve">size of a closed fist </w:t>
      </w:r>
      <w:r w:rsidR="00F9063E" w:rsidRPr="00645B37">
        <w:rPr>
          <w:rFonts w:ascii="Times New Roman" w:hAnsi="Times New Roman" w:cs="Times New Roman"/>
        </w:rPr>
        <w:t xml:space="preserve">or larger </w:t>
      </w:r>
      <w:r w:rsidRPr="00645B37">
        <w:rPr>
          <w:rFonts w:ascii="Times New Roman" w:hAnsi="Times New Roman" w:cs="Times New Roman"/>
        </w:rPr>
        <w:t>are place</w:t>
      </w:r>
      <w:r w:rsidR="005B2F09" w:rsidRPr="00645B37">
        <w:rPr>
          <w:rFonts w:ascii="Times New Roman" w:hAnsi="Times New Roman" w:cs="Times New Roman"/>
        </w:rPr>
        <w:t>d</w:t>
      </w:r>
      <w:r w:rsidRPr="00645B37">
        <w:rPr>
          <w:rFonts w:ascii="Times New Roman" w:hAnsi="Times New Roman" w:cs="Times New Roman"/>
        </w:rPr>
        <w:t xml:space="preserve"> on top of the larger wood. </w:t>
      </w:r>
    </w:p>
    <w:p w14:paraId="3C9FDA44" w14:textId="77777777" w:rsidR="00C60028" w:rsidRPr="00645B37" w:rsidRDefault="00C60028" w:rsidP="008D1534">
      <w:pPr>
        <w:pStyle w:val="ListParagraph"/>
        <w:spacing w:line="276" w:lineRule="auto"/>
        <w:jc w:val="both"/>
        <w:rPr>
          <w:rFonts w:ascii="Times New Roman" w:hAnsi="Times New Roman" w:cs="Times New Roman"/>
        </w:rPr>
      </w:pPr>
    </w:p>
    <w:p w14:paraId="7D965512" w14:textId="1D9BF8C7" w:rsidR="00FB2899" w:rsidRPr="00645B37" w:rsidRDefault="006E506D" w:rsidP="008D1534">
      <w:pPr>
        <w:pStyle w:val="ListParagraph"/>
        <w:numPr>
          <w:ilvl w:val="0"/>
          <w:numId w:val="4"/>
        </w:numPr>
        <w:spacing w:line="276" w:lineRule="auto"/>
        <w:jc w:val="both"/>
        <w:rPr>
          <w:rFonts w:ascii="Times New Roman" w:hAnsi="Times New Roman" w:cs="Times New Roman"/>
        </w:rPr>
      </w:pPr>
      <w:r w:rsidRPr="00645B37">
        <w:rPr>
          <w:rFonts w:ascii="Times New Roman" w:hAnsi="Times New Roman" w:cs="Times New Roman"/>
        </w:rPr>
        <w:t>Heat source</w:t>
      </w:r>
    </w:p>
    <w:p w14:paraId="0C60E7C6" w14:textId="5B1FB495" w:rsidR="00FB2899" w:rsidRPr="00645B37" w:rsidRDefault="00CB54B2"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The kindling material is lit.</w:t>
      </w:r>
      <w:r w:rsidR="00FB2899" w:rsidRPr="00645B37">
        <w:rPr>
          <w:rFonts w:ascii="Times New Roman" w:hAnsi="Times New Roman" w:cs="Times New Roman"/>
        </w:rPr>
        <w:t xml:space="preserve"> As the larger wood turns to charcoal, the stones drop inward on the hot coals.</w:t>
      </w:r>
    </w:p>
    <w:p w14:paraId="4D5D107D" w14:textId="5B8529E2" w:rsidR="00FB2899" w:rsidRPr="00645B37" w:rsidRDefault="00FB2899"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When the stones reach their maximum heat – after several hours – they are leveled out to an even floor on top of the coals</w:t>
      </w:r>
      <w:r w:rsidR="00C60028" w:rsidRPr="00645B37">
        <w:rPr>
          <w:rFonts w:ascii="Times New Roman" w:hAnsi="Times New Roman" w:cs="Times New Roman"/>
        </w:rPr>
        <w:t>.</w:t>
      </w:r>
    </w:p>
    <w:p w14:paraId="2F5BB63D" w14:textId="77777777" w:rsidR="00C60028" w:rsidRPr="00645B37" w:rsidRDefault="00C60028" w:rsidP="008D1534">
      <w:pPr>
        <w:pStyle w:val="ListParagraph"/>
        <w:spacing w:line="276" w:lineRule="auto"/>
        <w:jc w:val="both"/>
        <w:rPr>
          <w:rFonts w:ascii="Times New Roman" w:hAnsi="Times New Roman" w:cs="Times New Roman"/>
        </w:rPr>
      </w:pPr>
    </w:p>
    <w:p w14:paraId="64BE0628" w14:textId="2E8CFD82" w:rsidR="00CB54B2" w:rsidRPr="00645B37" w:rsidRDefault="006E506D" w:rsidP="008D1534">
      <w:pPr>
        <w:pStyle w:val="ListParagraph"/>
        <w:numPr>
          <w:ilvl w:val="0"/>
          <w:numId w:val="4"/>
        </w:numPr>
        <w:spacing w:line="276" w:lineRule="auto"/>
        <w:jc w:val="both"/>
        <w:rPr>
          <w:rFonts w:ascii="Times New Roman" w:hAnsi="Times New Roman" w:cs="Times New Roman"/>
        </w:rPr>
      </w:pPr>
      <w:r w:rsidRPr="00645B37">
        <w:rPr>
          <w:rFonts w:ascii="Times New Roman" w:hAnsi="Times New Roman" w:cs="Times New Roman"/>
        </w:rPr>
        <w:t>Materials</w:t>
      </w:r>
      <w:r w:rsidR="00C013D4" w:rsidRPr="00645B37">
        <w:rPr>
          <w:rFonts w:ascii="Times New Roman" w:hAnsi="Times New Roman" w:cs="Times New Roman"/>
        </w:rPr>
        <w:t xml:space="preserve"> and</w:t>
      </w:r>
      <w:r w:rsidRPr="00645B37">
        <w:rPr>
          <w:rFonts w:ascii="Times New Roman" w:hAnsi="Times New Roman" w:cs="Times New Roman"/>
        </w:rPr>
        <w:t xml:space="preserve"> staging</w:t>
      </w:r>
    </w:p>
    <w:p w14:paraId="6684607A" w14:textId="39C0EB71" w:rsidR="00FB2899" w:rsidRPr="00645B37" w:rsidRDefault="00B9218A"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 xml:space="preserve">Food, plant materials, and covering materials are </w:t>
      </w:r>
      <w:r w:rsidR="00C05314" w:rsidRPr="00645B37">
        <w:rPr>
          <w:rFonts w:ascii="Times New Roman" w:hAnsi="Times New Roman" w:cs="Times New Roman"/>
        </w:rPr>
        <w:t>brought</w:t>
      </w:r>
      <w:r w:rsidRPr="00645B37">
        <w:rPr>
          <w:rFonts w:ascii="Times New Roman" w:hAnsi="Times New Roman" w:cs="Times New Roman"/>
        </w:rPr>
        <w:t xml:space="preserve"> near the pit.</w:t>
      </w:r>
    </w:p>
    <w:p w14:paraId="35CD75F2" w14:textId="77E7823A" w:rsidR="00B9218A" w:rsidRPr="00645B37" w:rsidRDefault="00B9218A"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A layer of plant materials (e.g., banana stumps</w:t>
      </w:r>
      <w:r w:rsidR="00830EEF" w:rsidRPr="00645B37">
        <w:rPr>
          <w:rFonts w:ascii="Times New Roman" w:hAnsi="Times New Roman" w:cs="Times New Roman"/>
        </w:rPr>
        <w:t>, coconut husks</w:t>
      </w:r>
      <w:r w:rsidR="00AA22EA">
        <w:rPr>
          <w:rFonts w:ascii="Times New Roman" w:hAnsi="Times New Roman" w:cs="Times New Roman"/>
        </w:rPr>
        <w:t>,</w:t>
      </w:r>
      <w:r w:rsidR="00AA22EA" w:rsidRPr="00AA22EA">
        <w:rPr>
          <w:rFonts w:ascii="Times New Roman" w:hAnsi="Times New Roman" w:cs="Times New Roman"/>
        </w:rPr>
        <w:t xml:space="preserve"> </w:t>
      </w:r>
      <w:r w:rsidR="00AA22EA" w:rsidRPr="00645B37">
        <w:rPr>
          <w:rFonts w:ascii="Times New Roman" w:hAnsi="Times New Roman" w:cs="Times New Roman"/>
        </w:rPr>
        <w:t>ti leaves, palm leaves</w:t>
      </w:r>
      <w:r w:rsidRPr="00645B37">
        <w:rPr>
          <w:rFonts w:ascii="Times New Roman" w:hAnsi="Times New Roman" w:cs="Times New Roman"/>
        </w:rPr>
        <w:t>) is added directly over the hot stones</w:t>
      </w:r>
      <w:r w:rsidR="00C9351A" w:rsidRPr="00645B37">
        <w:rPr>
          <w:rFonts w:ascii="Times New Roman" w:hAnsi="Times New Roman" w:cs="Times New Roman"/>
        </w:rPr>
        <w:t>.</w:t>
      </w:r>
      <w:r w:rsidRPr="00645B37">
        <w:rPr>
          <w:rFonts w:ascii="Times New Roman" w:hAnsi="Times New Roman" w:cs="Times New Roman"/>
        </w:rPr>
        <w:t xml:space="preserve"> </w:t>
      </w:r>
    </w:p>
    <w:p w14:paraId="3DCA07D2" w14:textId="4A7A77D4" w:rsidR="00B9218A" w:rsidRPr="00645B37" w:rsidRDefault="00B9218A"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 xml:space="preserve">The food – wrapped </w:t>
      </w:r>
      <w:r w:rsidR="001C1A3F">
        <w:rPr>
          <w:rFonts w:ascii="Times New Roman" w:hAnsi="Times New Roman" w:cs="Times New Roman"/>
        </w:rPr>
        <w:t xml:space="preserve">(e.g., </w:t>
      </w:r>
      <w:r w:rsidRPr="00645B37">
        <w:rPr>
          <w:rFonts w:ascii="Times New Roman" w:hAnsi="Times New Roman" w:cs="Times New Roman"/>
        </w:rPr>
        <w:t xml:space="preserve">in </w:t>
      </w:r>
      <w:r w:rsidR="002E17D3">
        <w:rPr>
          <w:rFonts w:ascii="Times New Roman" w:hAnsi="Times New Roman" w:cs="Times New Roman"/>
        </w:rPr>
        <w:t xml:space="preserve">banana </w:t>
      </w:r>
      <w:r w:rsidRPr="00645B37">
        <w:rPr>
          <w:rFonts w:ascii="Times New Roman" w:hAnsi="Times New Roman" w:cs="Times New Roman"/>
        </w:rPr>
        <w:t>leaves</w:t>
      </w:r>
      <w:r w:rsidR="001C1A3F">
        <w:rPr>
          <w:rFonts w:ascii="Times New Roman" w:hAnsi="Times New Roman" w:cs="Times New Roman"/>
        </w:rPr>
        <w:t>)</w:t>
      </w:r>
      <w:r w:rsidRPr="00645B37">
        <w:rPr>
          <w:rFonts w:ascii="Times New Roman" w:hAnsi="Times New Roman" w:cs="Times New Roman"/>
        </w:rPr>
        <w:t xml:space="preserve"> or not – is added on top of the plant materials</w:t>
      </w:r>
      <w:r w:rsidR="00BA7C63" w:rsidRPr="00645B37">
        <w:rPr>
          <w:rFonts w:ascii="Times New Roman" w:hAnsi="Times New Roman" w:cs="Times New Roman"/>
        </w:rPr>
        <w:t>, directly or in a rack</w:t>
      </w:r>
      <w:r w:rsidR="00545605">
        <w:rPr>
          <w:rFonts w:ascii="Times New Roman" w:hAnsi="Times New Roman" w:cs="Times New Roman"/>
        </w:rPr>
        <w:t xml:space="preserve"> or basket</w:t>
      </w:r>
      <w:r w:rsidRPr="00645B37">
        <w:rPr>
          <w:rFonts w:ascii="Times New Roman" w:hAnsi="Times New Roman" w:cs="Times New Roman"/>
        </w:rPr>
        <w:t>.</w:t>
      </w:r>
      <w:r w:rsidR="00A0567B" w:rsidRPr="00645B37">
        <w:rPr>
          <w:rFonts w:ascii="Times New Roman" w:hAnsi="Times New Roman" w:cs="Times New Roman"/>
        </w:rPr>
        <w:t xml:space="preserve"> All food is placed </w:t>
      </w:r>
      <w:r w:rsidR="00E119BF" w:rsidRPr="00645B37">
        <w:rPr>
          <w:rFonts w:ascii="Times New Roman" w:hAnsi="Times New Roman" w:cs="Times New Roman"/>
        </w:rPr>
        <w:t xml:space="preserve">in the oven </w:t>
      </w:r>
      <w:r w:rsidR="00A0567B" w:rsidRPr="00645B37">
        <w:rPr>
          <w:rFonts w:ascii="Times New Roman" w:hAnsi="Times New Roman" w:cs="Times New Roman"/>
        </w:rPr>
        <w:t xml:space="preserve">at the same time. </w:t>
      </w:r>
    </w:p>
    <w:p w14:paraId="3E83EA07" w14:textId="654E2223" w:rsidR="00411CC2" w:rsidRPr="00645B37" w:rsidRDefault="00411CC2"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A</w:t>
      </w:r>
      <w:r w:rsidR="00AA22EA">
        <w:rPr>
          <w:rFonts w:ascii="Times New Roman" w:hAnsi="Times New Roman" w:cs="Times New Roman"/>
        </w:rPr>
        <w:t>nother</w:t>
      </w:r>
      <w:r w:rsidRPr="00645B37">
        <w:rPr>
          <w:rFonts w:ascii="Times New Roman" w:hAnsi="Times New Roman" w:cs="Times New Roman"/>
        </w:rPr>
        <w:t xml:space="preserve"> layer of plant materials (e.g., ti leaves, banana leaves) is added, covering the food.</w:t>
      </w:r>
    </w:p>
    <w:p w14:paraId="441AE97E" w14:textId="1EBE1348" w:rsidR="00411CC2" w:rsidRPr="00645B37" w:rsidRDefault="00C05314"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The c</w:t>
      </w:r>
      <w:r w:rsidR="00411CC2" w:rsidRPr="00645B37">
        <w:rPr>
          <w:rFonts w:ascii="Times New Roman" w:hAnsi="Times New Roman" w:cs="Times New Roman"/>
        </w:rPr>
        <w:t>overing material (e.g., mats, cloth</w:t>
      </w:r>
      <w:r w:rsidR="00545605">
        <w:rPr>
          <w:rFonts w:ascii="Times New Roman" w:hAnsi="Times New Roman" w:cs="Times New Roman"/>
        </w:rPr>
        <w:t>, sacks</w:t>
      </w:r>
      <w:r w:rsidR="00411CC2" w:rsidRPr="00645B37">
        <w:rPr>
          <w:rFonts w:ascii="Times New Roman" w:hAnsi="Times New Roman" w:cs="Times New Roman"/>
        </w:rPr>
        <w:t xml:space="preserve">) </w:t>
      </w:r>
      <w:r w:rsidRPr="00645B37">
        <w:rPr>
          <w:rFonts w:ascii="Times New Roman" w:hAnsi="Times New Roman" w:cs="Times New Roman"/>
        </w:rPr>
        <w:t>is</w:t>
      </w:r>
      <w:r w:rsidR="00411CC2" w:rsidRPr="00645B37">
        <w:rPr>
          <w:rFonts w:ascii="Times New Roman" w:hAnsi="Times New Roman" w:cs="Times New Roman"/>
        </w:rPr>
        <w:t xml:space="preserve"> extended </w:t>
      </w:r>
      <w:r w:rsidR="00C60028" w:rsidRPr="00645B37">
        <w:rPr>
          <w:rFonts w:ascii="Times New Roman" w:hAnsi="Times New Roman" w:cs="Times New Roman"/>
        </w:rPr>
        <w:t>at the pit’s surface level</w:t>
      </w:r>
      <w:r w:rsidR="00992F58" w:rsidRPr="00645B37">
        <w:rPr>
          <w:rFonts w:ascii="Times New Roman" w:hAnsi="Times New Roman" w:cs="Times New Roman"/>
        </w:rPr>
        <w:t>.</w:t>
      </w:r>
    </w:p>
    <w:p w14:paraId="78BC8E62" w14:textId="1DD7F561" w:rsidR="00C60028" w:rsidRDefault="00C60028"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 xml:space="preserve">A layer of loose dirt </w:t>
      </w:r>
      <w:r w:rsidR="00F9063E" w:rsidRPr="00645B37">
        <w:rPr>
          <w:rFonts w:ascii="Times New Roman" w:hAnsi="Times New Roman" w:cs="Times New Roman"/>
        </w:rPr>
        <w:t xml:space="preserve">earth </w:t>
      </w:r>
      <w:r w:rsidRPr="00645B37">
        <w:rPr>
          <w:rFonts w:ascii="Times New Roman" w:hAnsi="Times New Roman" w:cs="Times New Roman"/>
        </w:rPr>
        <w:t>is added on top of the covering material</w:t>
      </w:r>
      <w:r w:rsidR="00992F58" w:rsidRPr="00645B37">
        <w:rPr>
          <w:rFonts w:ascii="Times New Roman" w:hAnsi="Times New Roman" w:cs="Times New Roman"/>
        </w:rPr>
        <w:t>.</w:t>
      </w:r>
      <w:r w:rsidRPr="00645B37">
        <w:rPr>
          <w:rFonts w:ascii="Times New Roman" w:hAnsi="Times New Roman" w:cs="Times New Roman"/>
        </w:rPr>
        <w:t xml:space="preserve"> </w:t>
      </w:r>
    </w:p>
    <w:p w14:paraId="5FE52E4C" w14:textId="77777777" w:rsidR="00C60028" w:rsidRPr="00645B37" w:rsidRDefault="00C60028" w:rsidP="008D1534">
      <w:pPr>
        <w:spacing w:line="276" w:lineRule="auto"/>
        <w:ind w:left="360"/>
        <w:jc w:val="both"/>
      </w:pPr>
    </w:p>
    <w:p w14:paraId="3664B4FC" w14:textId="0F544B52" w:rsidR="00C60028" w:rsidRPr="00645B37" w:rsidRDefault="00C60028" w:rsidP="008D1534">
      <w:pPr>
        <w:pStyle w:val="ListParagraph"/>
        <w:numPr>
          <w:ilvl w:val="0"/>
          <w:numId w:val="4"/>
        </w:numPr>
        <w:spacing w:line="276" w:lineRule="auto"/>
        <w:jc w:val="both"/>
        <w:rPr>
          <w:rFonts w:ascii="Times New Roman" w:hAnsi="Times New Roman" w:cs="Times New Roman"/>
        </w:rPr>
      </w:pPr>
      <w:r w:rsidRPr="00645B37">
        <w:rPr>
          <w:rFonts w:ascii="Times New Roman" w:hAnsi="Times New Roman" w:cs="Times New Roman"/>
        </w:rPr>
        <w:t>Cooking process</w:t>
      </w:r>
    </w:p>
    <w:p w14:paraId="4E328631" w14:textId="2E883973" w:rsidR="00C60028" w:rsidRPr="00645B37" w:rsidRDefault="00830EEF"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The oven is maintained covered for the entire duration of the cooking process.</w:t>
      </w:r>
    </w:p>
    <w:p w14:paraId="41EC85D4" w14:textId="59B4D586" w:rsidR="00BA7C63" w:rsidRPr="00645B37" w:rsidRDefault="00BA7C63"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The temperature is not m</w:t>
      </w:r>
      <w:r w:rsidR="001101AA">
        <w:rPr>
          <w:rFonts w:ascii="Times New Roman" w:hAnsi="Times New Roman" w:cs="Times New Roman"/>
        </w:rPr>
        <w:t>easured</w:t>
      </w:r>
      <w:r w:rsidRPr="00645B37">
        <w:rPr>
          <w:rFonts w:ascii="Times New Roman" w:hAnsi="Times New Roman" w:cs="Times New Roman"/>
        </w:rPr>
        <w:t xml:space="preserve"> at any point </w:t>
      </w:r>
      <w:r w:rsidR="00FF6213" w:rsidRPr="00645B37">
        <w:rPr>
          <w:rFonts w:ascii="Times New Roman" w:hAnsi="Times New Roman" w:cs="Times New Roman"/>
        </w:rPr>
        <w:t xml:space="preserve">during </w:t>
      </w:r>
      <w:r w:rsidRPr="00645B37">
        <w:rPr>
          <w:rFonts w:ascii="Times New Roman" w:hAnsi="Times New Roman" w:cs="Times New Roman"/>
        </w:rPr>
        <w:t>the cooking process.</w:t>
      </w:r>
    </w:p>
    <w:p w14:paraId="0E7CD39E" w14:textId="6E4A7741" w:rsidR="00830EEF" w:rsidRPr="00645B37" w:rsidRDefault="00830EEF"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The cooking time is estimated based on</w:t>
      </w:r>
      <w:r w:rsidR="005B2F09" w:rsidRPr="00645B37">
        <w:rPr>
          <w:rFonts w:ascii="Times New Roman" w:hAnsi="Times New Roman" w:cs="Times New Roman"/>
        </w:rPr>
        <w:t xml:space="preserve"> traditional knowledge considering</w:t>
      </w:r>
      <w:r w:rsidRPr="00645B37">
        <w:rPr>
          <w:rFonts w:ascii="Times New Roman" w:hAnsi="Times New Roman" w:cs="Times New Roman"/>
        </w:rPr>
        <w:t xml:space="preserve"> the oven’s heating capacity, the type and amount of food</w:t>
      </w:r>
      <w:r w:rsidR="00E903EE">
        <w:rPr>
          <w:rFonts w:ascii="Times New Roman" w:hAnsi="Times New Roman" w:cs="Times New Roman"/>
        </w:rPr>
        <w:t xml:space="preserve">, </w:t>
      </w:r>
      <w:r w:rsidR="00E903EE" w:rsidRPr="00645B37">
        <w:rPr>
          <w:rFonts w:ascii="Times New Roman" w:hAnsi="Times New Roman" w:cs="Times New Roman"/>
        </w:rPr>
        <w:t>the thickness of the plant layers, and</w:t>
      </w:r>
      <w:r w:rsidR="00E903EE">
        <w:rPr>
          <w:rFonts w:ascii="Times New Roman" w:hAnsi="Times New Roman" w:cs="Times New Roman"/>
        </w:rPr>
        <w:t xml:space="preserve"> other factors</w:t>
      </w:r>
      <w:r w:rsidRPr="00645B37">
        <w:rPr>
          <w:rFonts w:ascii="Times New Roman" w:hAnsi="Times New Roman" w:cs="Times New Roman"/>
        </w:rPr>
        <w:t>.</w:t>
      </w:r>
      <w:r w:rsidR="00C04847" w:rsidRPr="00645B37">
        <w:rPr>
          <w:rFonts w:ascii="Times New Roman" w:hAnsi="Times New Roman" w:cs="Times New Roman"/>
        </w:rPr>
        <w:t xml:space="preserve"> </w:t>
      </w:r>
    </w:p>
    <w:p w14:paraId="2ED800E5" w14:textId="77777777" w:rsidR="00C60028" w:rsidRPr="00645B37" w:rsidRDefault="00C60028" w:rsidP="008D1534">
      <w:pPr>
        <w:spacing w:line="276" w:lineRule="auto"/>
        <w:ind w:left="360"/>
        <w:jc w:val="both"/>
      </w:pPr>
    </w:p>
    <w:p w14:paraId="2E8B8C70" w14:textId="1A08F5E9" w:rsidR="00C60028" w:rsidRPr="00645B37" w:rsidRDefault="006E506D" w:rsidP="008D1534">
      <w:pPr>
        <w:pStyle w:val="ListParagraph"/>
        <w:numPr>
          <w:ilvl w:val="0"/>
          <w:numId w:val="4"/>
        </w:numPr>
        <w:spacing w:line="276" w:lineRule="auto"/>
        <w:jc w:val="both"/>
        <w:rPr>
          <w:rFonts w:ascii="Times New Roman" w:hAnsi="Times New Roman" w:cs="Times New Roman"/>
        </w:rPr>
      </w:pPr>
      <w:r w:rsidRPr="00645B37">
        <w:rPr>
          <w:rFonts w:ascii="Times New Roman" w:hAnsi="Times New Roman" w:cs="Times New Roman"/>
        </w:rPr>
        <w:t>Finished product handling</w:t>
      </w:r>
    </w:p>
    <w:p w14:paraId="291C21C2" w14:textId="72EEAD39" w:rsidR="00BF4D5B" w:rsidRPr="00645B37" w:rsidRDefault="00A0567B"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At the end of the cooking process, the different covering layers are removed one by one</w:t>
      </w:r>
      <w:r w:rsidR="00C05314" w:rsidRPr="00645B37">
        <w:rPr>
          <w:rFonts w:ascii="Times New Roman" w:hAnsi="Times New Roman" w:cs="Times New Roman"/>
        </w:rPr>
        <w:t>.</w:t>
      </w:r>
      <w:r w:rsidRPr="00645B37">
        <w:rPr>
          <w:rFonts w:ascii="Times New Roman" w:hAnsi="Times New Roman" w:cs="Times New Roman"/>
        </w:rPr>
        <w:t xml:space="preserve"> </w:t>
      </w:r>
    </w:p>
    <w:p w14:paraId="42828DD7" w14:textId="2E1A2675" w:rsidR="005C0887" w:rsidRPr="00645B37" w:rsidRDefault="005C0887"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The food is usually served and consumed during the gathering.</w:t>
      </w:r>
    </w:p>
    <w:p w14:paraId="34A03F31" w14:textId="77777777" w:rsidR="008973C6" w:rsidRPr="00645B37" w:rsidRDefault="008973C6" w:rsidP="008D1534">
      <w:pPr>
        <w:spacing w:line="276" w:lineRule="auto"/>
        <w:jc w:val="both"/>
      </w:pPr>
    </w:p>
    <w:p w14:paraId="7908A378" w14:textId="320FB8EE" w:rsidR="00BF4D5B" w:rsidRPr="00FB769B" w:rsidRDefault="008973C6" w:rsidP="00FB769B">
      <w:pPr>
        <w:pStyle w:val="ListParagraph"/>
        <w:numPr>
          <w:ilvl w:val="0"/>
          <w:numId w:val="9"/>
        </w:numPr>
        <w:spacing w:line="276" w:lineRule="auto"/>
        <w:jc w:val="both"/>
        <w:rPr>
          <w:rFonts w:ascii="Times New Roman" w:hAnsi="Times New Roman" w:cs="Times New Roman"/>
          <w:b/>
          <w:bCs/>
        </w:rPr>
      </w:pPr>
      <w:r w:rsidRPr="00FB769B">
        <w:rPr>
          <w:rFonts w:ascii="Times New Roman" w:hAnsi="Times New Roman" w:cs="Times New Roman"/>
          <w:b/>
          <w:bCs/>
        </w:rPr>
        <w:t>Food safety considerations</w:t>
      </w:r>
    </w:p>
    <w:p w14:paraId="271208DA" w14:textId="77777777" w:rsidR="005C0887" w:rsidRPr="00645B37" w:rsidRDefault="005C0887" w:rsidP="008D1534">
      <w:pPr>
        <w:spacing w:line="276" w:lineRule="auto"/>
        <w:jc w:val="both"/>
      </w:pPr>
    </w:p>
    <w:p w14:paraId="29E689AE" w14:textId="701F243D" w:rsidR="005C0887" w:rsidRPr="00645B37" w:rsidRDefault="008973C6" w:rsidP="008D1534">
      <w:pPr>
        <w:spacing w:line="276" w:lineRule="auto"/>
        <w:jc w:val="both"/>
      </w:pPr>
      <w:r w:rsidRPr="00645B37">
        <w:lastRenderedPageBreak/>
        <w:t xml:space="preserve">Like most traditional food preparation methods, cooking food in underground ovens is not a standardized process. As such, variations in parameters that may affect the safety of the cooked food are expected. </w:t>
      </w:r>
      <w:r w:rsidR="00EB7F4A">
        <w:t xml:space="preserve">The main safety concerns are related to uneven or insufficient cooking, </w:t>
      </w:r>
      <w:r w:rsidR="001C1A3F">
        <w:t>introduction</w:t>
      </w:r>
      <w:r w:rsidR="00EB7F4A">
        <w:t xml:space="preserve"> of contaminants </w:t>
      </w:r>
      <w:r w:rsidR="00791B66">
        <w:t>through</w:t>
      </w:r>
      <w:r w:rsidR="00EB7F4A">
        <w:t xml:space="preserve"> cooking materials, and inadequate handling of cooked food. </w:t>
      </w:r>
      <w:r w:rsidRPr="00645B37">
        <w:t xml:space="preserve">Considering the main processing steps described in </w:t>
      </w:r>
      <w:r w:rsidR="00370FA9" w:rsidRPr="00645B37">
        <w:t xml:space="preserve">the </w:t>
      </w:r>
      <w:r w:rsidR="00BB4578">
        <w:t>s</w:t>
      </w:r>
      <w:r w:rsidRPr="00645B37">
        <w:t xml:space="preserve">ection </w:t>
      </w:r>
      <w:r w:rsidR="00370FA9" w:rsidRPr="00645B37">
        <w:t>above</w:t>
      </w:r>
      <w:r w:rsidRPr="00645B37">
        <w:t xml:space="preserve">, an analysis of elements and practices that could impact the safety of the food prepared using this method is presented below.  </w:t>
      </w:r>
    </w:p>
    <w:p w14:paraId="0EEF1541" w14:textId="77777777" w:rsidR="005C0887" w:rsidRPr="00645B37" w:rsidRDefault="005C0887" w:rsidP="008D1534">
      <w:pPr>
        <w:spacing w:line="276" w:lineRule="auto"/>
        <w:ind w:left="360"/>
        <w:jc w:val="both"/>
      </w:pPr>
    </w:p>
    <w:p w14:paraId="6913D364" w14:textId="79B0C097" w:rsidR="006E506D" w:rsidRPr="00645B37" w:rsidRDefault="006E506D" w:rsidP="008D1534">
      <w:pPr>
        <w:pStyle w:val="ListParagraph"/>
        <w:numPr>
          <w:ilvl w:val="0"/>
          <w:numId w:val="5"/>
        </w:numPr>
        <w:spacing w:line="276" w:lineRule="auto"/>
        <w:jc w:val="both"/>
        <w:rPr>
          <w:rFonts w:ascii="Times New Roman" w:hAnsi="Times New Roman" w:cs="Times New Roman"/>
        </w:rPr>
      </w:pPr>
      <w:r w:rsidRPr="00645B37">
        <w:rPr>
          <w:rFonts w:ascii="Times New Roman" w:hAnsi="Times New Roman" w:cs="Times New Roman"/>
        </w:rPr>
        <w:t>Oven design and construction</w:t>
      </w:r>
    </w:p>
    <w:p w14:paraId="26F5F855" w14:textId="77777777" w:rsidR="004F3816" w:rsidRPr="00645B37" w:rsidRDefault="004F3816" w:rsidP="008D1534">
      <w:pPr>
        <w:spacing w:line="276" w:lineRule="auto"/>
        <w:jc w:val="both"/>
      </w:pPr>
    </w:p>
    <w:p w14:paraId="0C5F408C" w14:textId="237C1DC6" w:rsidR="008869C2" w:rsidRPr="00645B37" w:rsidRDefault="008869C2"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 xml:space="preserve">Food safety objective: </w:t>
      </w:r>
      <w:r w:rsidR="001D2BA5">
        <w:rPr>
          <w:rFonts w:ascii="Times New Roman" w:hAnsi="Times New Roman" w:cs="Times New Roman"/>
        </w:rPr>
        <w:t>ensure sufficient</w:t>
      </w:r>
      <w:r w:rsidRPr="00645B37">
        <w:rPr>
          <w:rFonts w:ascii="Times New Roman" w:hAnsi="Times New Roman" w:cs="Times New Roman"/>
        </w:rPr>
        <w:t xml:space="preserve"> heat</w:t>
      </w:r>
      <w:r w:rsidR="00E6103C">
        <w:rPr>
          <w:rFonts w:ascii="Times New Roman" w:hAnsi="Times New Roman" w:cs="Times New Roman"/>
        </w:rPr>
        <w:t>ing</w:t>
      </w:r>
      <w:r w:rsidR="001D2BA5">
        <w:rPr>
          <w:rFonts w:ascii="Times New Roman" w:hAnsi="Times New Roman" w:cs="Times New Roman"/>
        </w:rPr>
        <w:t xml:space="preserve"> capacity</w:t>
      </w:r>
    </w:p>
    <w:p w14:paraId="020E1A95" w14:textId="6F1B6EE9" w:rsidR="00A03137" w:rsidRPr="00645B37" w:rsidRDefault="006E506D" w:rsidP="008D1534">
      <w:pPr>
        <w:spacing w:line="276" w:lineRule="auto"/>
        <w:jc w:val="both"/>
      </w:pPr>
      <w:r w:rsidRPr="00645B37">
        <w:t xml:space="preserve">The dimensions of the oven (depth and diameter) should be adapted to the amount </w:t>
      </w:r>
      <w:r w:rsidR="008869C2" w:rsidRPr="00645B37">
        <w:t xml:space="preserve">and type </w:t>
      </w:r>
      <w:r w:rsidRPr="00645B37">
        <w:t xml:space="preserve">of food that will be cooked. </w:t>
      </w:r>
      <w:r w:rsidR="008D5F5A">
        <w:t>The type of stones used i</w:t>
      </w:r>
      <w:r w:rsidR="008D5F5A" w:rsidRPr="0029056A">
        <w:t xml:space="preserve">s essential to ensure adequate heat generation and transfer throughout the cooking process. </w:t>
      </w:r>
      <w:r w:rsidR="00A94D9B" w:rsidRPr="0029056A">
        <w:t xml:space="preserve">Stones that may </w:t>
      </w:r>
      <w:r w:rsidR="00A03137" w:rsidRPr="0029056A">
        <w:t>contain moisture</w:t>
      </w:r>
      <w:r w:rsidR="00A94D9B" w:rsidRPr="0029056A">
        <w:t xml:space="preserve"> (e.g., porous rocks like limestone) should be avoided</w:t>
      </w:r>
      <w:r w:rsidR="008869C2" w:rsidRPr="0029056A">
        <w:t xml:space="preserve">, </w:t>
      </w:r>
      <w:r w:rsidR="00A03137" w:rsidRPr="0029056A">
        <w:t>as they may explode when heate</w:t>
      </w:r>
      <w:r w:rsidR="0044494B" w:rsidRPr="0029056A">
        <w:t>d</w:t>
      </w:r>
      <w:r w:rsidR="003E73E7" w:rsidRPr="0029056A">
        <w:t xml:space="preserve"> (New Zealand Ministry for Primary Industries, 201</w:t>
      </w:r>
      <w:r w:rsidR="0029056A" w:rsidRPr="0029056A">
        <w:t>8</w:t>
      </w:r>
      <w:r w:rsidR="003E73E7" w:rsidRPr="0029056A">
        <w:t>)</w:t>
      </w:r>
      <w:r w:rsidR="00A03137" w:rsidRPr="0029056A">
        <w:t>.</w:t>
      </w:r>
      <w:r w:rsidR="008D5F5A" w:rsidRPr="0029056A">
        <w:t xml:space="preserve"> For</w:t>
      </w:r>
      <w:r w:rsidR="008D5F5A">
        <w:t xml:space="preserve"> even heat distribution, t</w:t>
      </w:r>
      <w:r w:rsidR="008D5F5A" w:rsidRPr="00645B37">
        <w:t>he stones used should be of similar size</w:t>
      </w:r>
      <w:r w:rsidR="008D5F5A">
        <w:t xml:space="preserve">. </w:t>
      </w:r>
      <w:r w:rsidR="008869C2" w:rsidRPr="00645B37">
        <w:t xml:space="preserve"> </w:t>
      </w:r>
    </w:p>
    <w:p w14:paraId="76AE7028" w14:textId="77777777" w:rsidR="006E506D" w:rsidRPr="00645B37" w:rsidRDefault="006E506D" w:rsidP="008D1534">
      <w:pPr>
        <w:spacing w:line="276" w:lineRule="auto"/>
        <w:jc w:val="both"/>
      </w:pPr>
    </w:p>
    <w:p w14:paraId="4BED4282" w14:textId="5CA1D083" w:rsidR="006E506D" w:rsidRPr="00645B37" w:rsidRDefault="004F3816" w:rsidP="008D1534">
      <w:pPr>
        <w:pStyle w:val="ListParagraph"/>
        <w:numPr>
          <w:ilvl w:val="0"/>
          <w:numId w:val="5"/>
        </w:numPr>
        <w:spacing w:line="276" w:lineRule="auto"/>
        <w:jc w:val="both"/>
        <w:rPr>
          <w:rFonts w:ascii="Times New Roman" w:hAnsi="Times New Roman" w:cs="Times New Roman"/>
        </w:rPr>
      </w:pPr>
      <w:r w:rsidRPr="00645B37">
        <w:rPr>
          <w:rFonts w:ascii="Times New Roman" w:hAnsi="Times New Roman" w:cs="Times New Roman"/>
        </w:rPr>
        <w:t>Heat source</w:t>
      </w:r>
    </w:p>
    <w:p w14:paraId="292A33BF" w14:textId="77777777" w:rsidR="004F3816" w:rsidRPr="00645B37" w:rsidRDefault="004F3816" w:rsidP="008D1534">
      <w:pPr>
        <w:spacing w:line="276" w:lineRule="auto"/>
        <w:jc w:val="both"/>
      </w:pPr>
    </w:p>
    <w:p w14:paraId="3E71520B" w14:textId="4CC2A126" w:rsidR="004F3816" w:rsidRPr="00645B37" w:rsidRDefault="004F3816"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 xml:space="preserve">Food safety objective: </w:t>
      </w:r>
      <w:r w:rsidR="00530030" w:rsidRPr="00645B37">
        <w:rPr>
          <w:rFonts w:ascii="Times New Roman" w:hAnsi="Times New Roman" w:cs="Times New Roman"/>
        </w:rPr>
        <w:t>optimize</w:t>
      </w:r>
      <w:r w:rsidRPr="00645B37">
        <w:rPr>
          <w:rFonts w:ascii="Times New Roman" w:hAnsi="Times New Roman" w:cs="Times New Roman"/>
        </w:rPr>
        <w:t xml:space="preserve"> heat</w:t>
      </w:r>
      <w:r w:rsidR="001C1A3F">
        <w:rPr>
          <w:rFonts w:ascii="Times New Roman" w:hAnsi="Times New Roman" w:cs="Times New Roman"/>
        </w:rPr>
        <w:t xml:space="preserve"> generation</w:t>
      </w:r>
    </w:p>
    <w:p w14:paraId="77134B3C" w14:textId="22BE6591" w:rsidR="004F3816" w:rsidRPr="00645B37" w:rsidRDefault="004F3816" w:rsidP="008D1534">
      <w:pPr>
        <w:spacing w:line="276" w:lineRule="auto"/>
        <w:jc w:val="both"/>
      </w:pPr>
      <w:r w:rsidRPr="00645B37">
        <w:t xml:space="preserve">As in an open pit, </w:t>
      </w:r>
      <w:r w:rsidR="00152C78" w:rsidRPr="00645B37">
        <w:t xml:space="preserve">the initial set up of kindling and hardwood material will determine the level of burning heat obtained and the time required to convert wood into coals. The process may be lengthy and requires close monitoring. Usually, when coals are grey and produce glowing embers (not flames), they have reached a consistent heat level. The stones would have dropped on top of the coals at this point. </w:t>
      </w:r>
      <w:r w:rsidR="00F96C78" w:rsidRPr="00645B37">
        <w:t>When</w:t>
      </w:r>
      <w:r w:rsidR="00152C78" w:rsidRPr="00645B37">
        <w:t xml:space="preserve"> this happens, the stones should be arranged in an even</w:t>
      </w:r>
      <w:r w:rsidR="00B655C7" w:rsidRPr="00645B37">
        <w:t>,</w:t>
      </w:r>
      <w:r w:rsidR="00152C78" w:rsidRPr="00645B37">
        <w:t xml:space="preserve"> </w:t>
      </w:r>
      <w:r w:rsidR="00F96C78" w:rsidRPr="00645B37">
        <w:t xml:space="preserve">flat </w:t>
      </w:r>
      <w:r w:rsidR="00152C78" w:rsidRPr="00645B37">
        <w:t>layer</w:t>
      </w:r>
      <w:r w:rsidR="00F96C78" w:rsidRPr="00645B37">
        <w:t>, such that the plant materials that will generate steam are heated evenly</w:t>
      </w:r>
      <w:r w:rsidR="00152C78" w:rsidRPr="00645B37">
        <w:t xml:space="preserve">. </w:t>
      </w:r>
    </w:p>
    <w:p w14:paraId="75143AAF" w14:textId="77777777" w:rsidR="004F3816" w:rsidRPr="00645B37" w:rsidRDefault="004F3816" w:rsidP="008D1534">
      <w:pPr>
        <w:spacing w:line="276" w:lineRule="auto"/>
        <w:jc w:val="both"/>
      </w:pPr>
    </w:p>
    <w:p w14:paraId="7E921B03" w14:textId="43C38350" w:rsidR="000B7DF8" w:rsidRPr="00645B37" w:rsidRDefault="000B7DF8" w:rsidP="008D1534">
      <w:pPr>
        <w:spacing w:line="276" w:lineRule="auto"/>
        <w:jc w:val="both"/>
      </w:pPr>
      <w:r w:rsidRPr="00645B37">
        <w:t xml:space="preserve">Underground oven cooking does not allow for access or modifications to the heat source during the cooking process. Thus, the initial set up of wood and stones must ensure the generation of sufficient heat throughout the cooking process. </w:t>
      </w:r>
    </w:p>
    <w:p w14:paraId="133A3292" w14:textId="77777777" w:rsidR="000B7DF8" w:rsidRPr="00645B37" w:rsidRDefault="000B7DF8" w:rsidP="008D1534">
      <w:pPr>
        <w:spacing w:line="276" w:lineRule="auto"/>
        <w:jc w:val="both"/>
      </w:pPr>
    </w:p>
    <w:p w14:paraId="5C60413D" w14:textId="0C9E2532" w:rsidR="00F96C78" w:rsidRPr="00645B37" w:rsidRDefault="00F96C78" w:rsidP="008D1534">
      <w:pPr>
        <w:pStyle w:val="ListParagraph"/>
        <w:numPr>
          <w:ilvl w:val="0"/>
          <w:numId w:val="5"/>
        </w:numPr>
        <w:spacing w:line="276" w:lineRule="auto"/>
        <w:jc w:val="both"/>
        <w:rPr>
          <w:rFonts w:ascii="Times New Roman" w:hAnsi="Times New Roman" w:cs="Times New Roman"/>
        </w:rPr>
      </w:pPr>
      <w:r w:rsidRPr="00645B37">
        <w:rPr>
          <w:rFonts w:ascii="Times New Roman" w:hAnsi="Times New Roman" w:cs="Times New Roman"/>
        </w:rPr>
        <w:t>Material</w:t>
      </w:r>
      <w:r w:rsidR="00C013D4" w:rsidRPr="00645B37">
        <w:rPr>
          <w:rFonts w:ascii="Times New Roman" w:hAnsi="Times New Roman" w:cs="Times New Roman"/>
        </w:rPr>
        <w:t>s and</w:t>
      </w:r>
      <w:r w:rsidRPr="00645B37">
        <w:rPr>
          <w:rFonts w:ascii="Times New Roman" w:hAnsi="Times New Roman" w:cs="Times New Roman"/>
        </w:rPr>
        <w:t xml:space="preserve"> staging</w:t>
      </w:r>
    </w:p>
    <w:p w14:paraId="45DA2E22" w14:textId="5D842BF8" w:rsidR="00511E06" w:rsidRDefault="00511E06" w:rsidP="008D1534">
      <w:pPr>
        <w:spacing w:line="276" w:lineRule="auto"/>
        <w:jc w:val="both"/>
      </w:pPr>
      <w:r w:rsidRPr="00645B37">
        <w:t xml:space="preserve">  </w:t>
      </w:r>
    </w:p>
    <w:p w14:paraId="3A4B7E66" w14:textId="77777777" w:rsidR="001C1A3F" w:rsidRPr="00645B37" w:rsidRDefault="001C1A3F" w:rsidP="001C1A3F">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Food safety objective: prevent the presence, introduction or proliferation of contaminants in the food</w:t>
      </w:r>
    </w:p>
    <w:p w14:paraId="6E148E0B" w14:textId="22BBE20B" w:rsidR="001C1A3F" w:rsidRPr="00645B37" w:rsidRDefault="001C1A3F" w:rsidP="001C1A3F">
      <w:pPr>
        <w:spacing w:line="276" w:lineRule="auto"/>
        <w:jc w:val="both"/>
      </w:pPr>
      <w:r w:rsidRPr="00645B37">
        <w:t>Handling of food and food contact materials must follow good hygiene practices.</w:t>
      </w:r>
      <w:r w:rsidR="000562DB">
        <w:t xml:space="preserve"> </w:t>
      </w:r>
      <w:r w:rsidRPr="00645B37">
        <w:t xml:space="preserve">All materials should be of high hygienic quality and must be kept away from the soil. </w:t>
      </w:r>
      <w:r w:rsidR="00E765AD">
        <w:t>P</w:t>
      </w:r>
      <w:r w:rsidRPr="00645B37">
        <w:t>lant materials collected for use in an underground oven must be, at a minimum, free of visible contamination</w:t>
      </w:r>
      <w:r w:rsidR="002E17D3">
        <w:t xml:space="preserve"> (e.g., young and healthy banana leaves, free from dirt – Sopade, 2000)</w:t>
      </w:r>
      <w:r w:rsidRPr="00645B37">
        <w:t>.</w:t>
      </w:r>
      <w:r w:rsidR="000562DB">
        <w:t xml:space="preserve"> </w:t>
      </w:r>
      <w:r w:rsidRPr="00645B37">
        <w:t>Special attention should be given to raw food and food contact materials (e.g., food contact layers or food wrapping materials), which should meet relevant food safety standards.</w:t>
      </w:r>
    </w:p>
    <w:p w14:paraId="259A2AF8" w14:textId="77777777" w:rsidR="001C1A3F" w:rsidRPr="00645B37" w:rsidRDefault="001C1A3F" w:rsidP="001C1A3F">
      <w:pPr>
        <w:spacing w:line="276" w:lineRule="auto"/>
        <w:jc w:val="both"/>
      </w:pPr>
    </w:p>
    <w:p w14:paraId="102C34F0" w14:textId="25C34595" w:rsidR="001C1A3F" w:rsidRPr="00645B37" w:rsidRDefault="007A3758" w:rsidP="001C1A3F">
      <w:pPr>
        <w:spacing w:line="276" w:lineRule="auto"/>
        <w:jc w:val="both"/>
      </w:pPr>
      <w:r>
        <w:t>T</w:t>
      </w:r>
      <w:r w:rsidRPr="00645B37">
        <w:t>o avoid microbial proliferation</w:t>
      </w:r>
      <w:r>
        <w:t>,</w:t>
      </w:r>
      <w:r w:rsidRPr="00645B37">
        <w:t xml:space="preserve"> </w:t>
      </w:r>
      <w:r>
        <w:t>f</w:t>
      </w:r>
      <w:r w:rsidR="001C1A3F" w:rsidRPr="00645B37">
        <w:t xml:space="preserve">ood </w:t>
      </w:r>
      <w:r w:rsidR="000562DB">
        <w:t xml:space="preserve">that will be cooked in the underground oven </w:t>
      </w:r>
      <w:r w:rsidR="001C1A3F" w:rsidRPr="00645B37">
        <w:t xml:space="preserve">should be </w:t>
      </w:r>
      <w:r w:rsidR="000562DB">
        <w:t>conditioned (e.g., chopped)</w:t>
      </w:r>
      <w:r w:rsidR="001C1A3F" w:rsidRPr="00645B37">
        <w:t xml:space="preserve"> as close as possible</w:t>
      </w:r>
      <w:r w:rsidR="000562DB">
        <w:t xml:space="preserve">, </w:t>
      </w:r>
      <w:r w:rsidR="001C1A3F" w:rsidRPr="00645B37">
        <w:t xml:space="preserve">and kept at room temperature not more than one hour prior to the time of placement in the oven. Raw meats should be held at refrigeration until placement in the oven. </w:t>
      </w:r>
      <w:r w:rsidR="000562DB">
        <w:t>F</w:t>
      </w:r>
      <w:r w:rsidR="001C1A3F" w:rsidRPr="00645B37">
        <w:t>ood items must be covered or kept in closed container</w:t>
      </w:r>
      <w:r w:rsidR="000562DB">
        <w:t>s</w:t>
      </w:r>
      <w:r w:rsidR="001C1A3F" w:rsidRPr="00645B37">
        <w:t xml:space="preserve"> to avoid contamination.</w:t>
      </w:r>
      <w:r>
        <w:t xml:space="preserve"> </w:t>
      </w:r>
      <w:r w:rsidR="001C1A3F" w:rsidRPr="00645B37">
        <w:t xml:space="preserve">Frozen foods must not be placed in the oven, as reaching safe cooking temperatures is unlikely (Sellars &amp; Heggie, 2005). </w:t>
      </w:r>
      <w:r>
        <w:t>Thus, all food, especially meat and chicken, must be fully thawed before cooki</w:t>
      </w:r>
      <w:r w:rsidRPr="0029056A">
        <w:t>ng (New Zealand Ministry for Primary Industries, 201</w:t>
      </w:r>
      <w:r w:rsidR="0029056A" w:rsidRPr="0029056A">
        <w:t>8</w:t>
      </w:r>
      <w:r w:rsidRPr="0029056A">
        <w:t>).</w:t>
      </w:r>
    </w:p>
    <w:p w14:paraId="6FC02B56" w14:textId="77777777" w:rsidR="001C1A3F" w:rsidRPr="00645B37" w:rsidRDefault="001C1A3F" w:rsidP="008D1534">
      <w:pPr>
        <w:spacing w:line="276" w:lineRule="auto"/>
        <w:jc w:val="both"/>
      </w:pPr>
    </w:p>
    <w:p w14:paraId="0328A4D8" w14:textId="3CD0AB1E" w:rsidR="000B7DF8" w:rsidRPr="00645B37" w:rsidRDefault="00F96C78"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 xml:space="preserve">Food safety objective: </w:t>
      </w:r>
      <w:r w:rsidR="001C1A3F">
        <w:rPr>
          <w:rFonts w:ascii="Times New Roman" w:hAnsi="Times New Roman" w:cs="Times New Roman"/>
        </w:rPr>
        <w:t>optimize heat transfer</w:t>
      </w:r>
    </w:p>
    <w:p w14:paraId="21230F23" w14:textId="37937303" w:rsidR="00992F58" w:rsidRPr="00645B37" w:rsidRDefault="008D5F5A" w:rsidP="008D1534">
      <w:pPr>
        <w:spacing w:line="276" w:lineRule="auto"/>
        <w:jc w:val="both"/>
      </w:pPr>
      <w:r>
        <w:t>T</w:t>
      </w:r>
      <w:r w:rsidR="00511E06" w:rsidRPr="00645B37">
        <w:t xml:space="preserve">hick </w:t>
      </w:r>
      <w:r>
        <w:t xml:space="preserve">plant </w:t>
      </w:r>
      <w:r w:rsidR="00511E06" w:rsidRPr="00645B37">
        <w:t>materials like banana stumps or coconut husks</w:t>
      </w:r>
      <w:r w:rsidR="000562DB">
        <w:t>,</w:t>
      </w:r>
      <w:r w:rsidR="00511E06" w:rsidRPr="00645B37">
        <w:t xml:space="preserve"> may be cut and/or pounded to release moisture and facilitate steam production. </w:t>
      </w:r>
      <w:r w:rsidR="00C05314" w:rsidRPr="00645B37">
        <w:t>These steps should be conducted in advance such that the materials are ready to be placed in the oven as soon as the stones reach their maximum heat level.</w:t>
      </w:r>
    </w:p>
    <w:p w14:paraId="3D10DF6C" w14:textId="77777777" w:rsidR="00992F58" w:rsidRDefault="00992F58" w:rsidP="008D1534">
      <w:pPr>
        <w:spacing w:line="276" w:lineRule="auto"/>
        <w:jc w:val="both"/>
      </w:pPr>
    </w:p>
    <w:p w14:paraId="38DDEE08" w14:textId="07BE9024" w:rsidR="001C1A3F" w:rsidRPr="00645B37" w:rsidRDefault="000562DB" w:rsidP="001C1A3F">
      <w:pPr>
        <w:spacing w:line="276" w:lineRule="auto"/>
        <w:jc w:val="both"/>
      </w:pPr>
      <w:r>
        <w:t>Food should be staged inside</w:t>
      </w:r>
      <w:r w:rsidR="001C1A3F" w:rsidRPr="000562DB">
        <w:t xml:space="preserve"> the oven </w:t>
      </w:r>
      <w:r>
        <w:t>such</w:t>
      </w:r>
      <w:r w:rsidR="001C1A3F" w:rsidRPr="000562DB">
        <w:t xml:space="preserve"> that </w:t>
      </w:r>
      <w:r>
        <w:t>optimal heat transfer is achieved.</w:t>
      </w:r>
      <w:r w:rsidR="001C1A3F" w:rsidRPr="000562DB">
        <w:t xml:space="preserve"> </w:t>
      </w:r>
      <w:r w:rsidR="008D5F5A">
        <w:t xml:space="preserve">This step </w:t>
      </w:r>
      <w:r w:rsidR="008D5F5A" w:rsidRPr="00645B37">
        <w:t xml:space="preserve">must be carefully considered since the oven remains closed during the </w:t>
      </w:r>
      <w:r w:rsidR="008D5F5A">
        <w:t xml:space="preserve">entire </w:t>
      </w:r>
      <w:r w:rsidR="008D5F5A" w:rsidRPr="00645B37">
        <w:t>cooking time and no adjustments can be made once the foods are placed</w:t>
      </w:r>
      <w:r w:rsidR="008D5F5A">
        <w:t xml:space="preserve"> inside</w:t>
      </w:r>
      <w:r w:rsidR="008D5F5A" w:rsidRPr="00645B37">
        <w:t xml:space="preserve">. </w:t>
      </w:r>
      <w:r w:rsidR="001C1A3F" w:rsidRPr="00645B37">
        <w:t xml:space="preserve">Food size, food type, and separation from the heat source are used to control the time needed to cook the different foods. </w:t>
      </w:r>
      <w:r>
        <w:t xml:space="preserve">In general, the food closest to the hot stones will achieve the highest temperatures. </w:t>
      </w:r>
      <w:r w:rsidR="001C1A3F" w:rsidRPr="00645B37">
        <w:t xml:space="preserve">For example, large cuts of meat are </w:t>
      </w:r>
      <w:r>
        <w:t xml:space="preserve">often </w:t>
      </w:r>
      <w:r w:rsidR="001C1A3F" w:rsidRPr="00645B37">
        <w:t>placed on the bottom of the oven and vegetables on the top (Sellars &amp; Heggie, 2005)</w:t>
      </w:r>
      <w:r>
        <w:t xml:space="preserve"> to ensure the meat will be </w:t>
      </w:r>
      <w:r w:rsidRPr="0029056A">
        <w:t>cooked thoroughly</w:t>
      </w:r>
      <w:r w:rsidR="007A3758" w:rsidRPr="0029056A">
        <w:t xml:space="preserve"> (New Zealand Ministry for Primary Industries, 201</w:t>
      </w:r>
      <w:r w:rsidR="0029056A" w:rsidRPr="0029056A">
        <w:t>8</w:t>
      </w:r>
      <w:r w:rsidR="007A3758" w:rsidRPr="0029056A">
        <w:t>)</w:t>
      </w:r>
      <w:r w:rsidR="001C1A3F" w:rsidRPr="0029056A">
        <w:t xml:space="preserve">. Cooking whole animals (e.g., pork, deer) requires special measures (e.g., larger pit, longer cooking time, placing of </w:t>
      </w:r>
      <w:r w:rsidR="004B0B6B">
        <w:t xml:space="preserve">hot </w:t>
      </w:r>
      <w:r w:rsidR="001C1A3F" w:rsidRPr="0029056A">
        <w:t>stones</w:t>
      </w:r>
      <w:r w:rsidR="0044494B" w:rsidRPr="0029056A">
        <w:t xml:space="preserve"> wrapped in leaves</w:t>
      </w:r>
      <w:r w:rsidR="001C1A3F" w:rsidRPr="0029056A">
        <w:t xml:space="preserve"> inside the carcass</w:t>
      </w:r>
      <w:r w:rsidR="007A3758" w:rsidRPr="0029056A">
        <w:t xml:space="preserve"> -  New Zealand Ministry for Primary Industries, 201</w:t>
      </w:r>
      <w:r w:rsidR="0029056A" w:rsidRPr="0029056A">
        <w:t>8</w:t>
      </w:r>
      <w:r w:rsidR="001C1A3F" w:rsidRPr="0029056A">
        <w:t>).</w:t>
      </w:r>
      <w:r w:rsidR="001C1A3F" w:rsidRPr="00645B37">
        <w:t xml:space="preserve"> </w:t>
      </w:r>
    </w:p>
    <w:p w14:paraId="7865DC8F" w14:textId="77777777" w:rsidR="00992F58" w:rsidRDefault="00992F58" w:rsidP="008D1534">
      <w:pPr>
        <w:spacing w:line="276" w:lineRule="auto"/>
        <w:jc w:val="both"/>
      </w:pPr>
    </w:p>
    <w:p w14:paraId="3B2B0725" w14:textId="50B7CDAE" w:rsidR="008D5F5A" w:rsidRPr="00645B37" w:rsidRDefault="00E765AD" w:rsidP="008D5F5A">
      <w:pPr>
        <w:spacing w:line="276" w:lineRule="auto"/>
        <w:jc w:val="both"/>
      </w:pPr>
      <w:r>
        <w:t>When closing the oven, a</w:t>
      </w:r>
      <w:r w:rsidR="008D5F5A" w:rsidRPr="008D5F5A">
        <w:t>voiding large gaps between the last layer of plant materials and the covering material will prevent large temperature gradients.</w:t>
      </w:r>
      <w:r w:rsidR="008D5F5A">
        <w:t xml:space="preserve"> </w:t>
      </w:r>
      <w:r w:rsidR="008D5F5A" w:rsidRPr="00645B37">
        <w:t xml:space="preserve">To prevent the </w:t>
      </w:r>
      <w:r w:rsidR="008D5F5A">
        <w:t>heat</w:t>
      </w:r>
      <w:r w:rsidR="008D5F5A" w:rsidRPr="00645B37">
        <w:t xml:space="preserve"> from escaping, the covering layer (e.g., mats, cloths</w:t>
      </w:r>
      <w:r w:rsidR="008D5F5A">
        <w:t xml:space="preserve">, </w:t>
      </w:r>
      <w:r w:rsidR="002E17D3">
        <w:t xml:space="preserve">copra </w:t>
      </w:r>
      <w:r w:rsidR="008D5F5A">
        <w:t>sacks</w:t>
      </w:r>
      <w:r w:rsidR="008D5F5A" w:rsidRPr="00645B37">
        <w:t>) should extend beyond the diameter of the pit’s opening and should be fully covered with loose dirt.</w:t>
      </w:r>
    </w:p>
    <w:p w14:paraId="16829ED5" w14:textId="77777777" w:rsidR="00F96C78" w:rsidRPr="00645B37" w:rsidRDefault="00F96C78" w:rsidP="008D1534">
      <w:pPr>
        <w:spacing w:line="276" w:lineRule="auto"/>
        <w:jc w:val="both"/>
      </w:pPr>
    </w:p>
    <w:p w14:paraId="176FB2B5" w14:textId="0B4AAA07" w:rsidR="00F96C78" w:rsidRPr="00645B37" w:rsidRDefault="006966BC" w:rsidP="008D1534">
      <w:pPr>
        <w:pStyle w:val="ListParagraph"/>
        <w:numPr>
          <w:ilvl w:val="0"/>
          <w:numId w:val="5"/>
        </w:numPr>
        <w:spacing w:line="276" w:lineRule="auto"/>
        <w:jc w:val="both"/>
        <w:rPr>
          <w:rFonts w:ascii="Times New Roman" w:hAnsi="Times New Roman" w:cs="Times New Roman"/>
        </w:rPr>
      </w:pPr>
      <w:r w:rsidRPr="00645B37">
        <w:rPr>
          <w:rFonts w:ascii="Times New Roman" w:hAnsi="Times New Roman" w:cs="Times New Roman"/>
        </w:rPr>
        <w:t>Cooking process</w:t>
      </w:r>
    </w:p>
    <w:p w14:paraId="34E7E5F0" w14:textId="77777777" w:rsidR="00841F8C" w:rsidRPr="00645B37" w:rsidRDefault="00841F8C" w:rsidP="008D1534">
      <w:pPr>
        <w:pStyle w:val="ListParagraph"/>
        <w:spacing w:line="276" w:lineRule="auto"/>
        <w:jc w:val="both"/>
        <w:rPr>
          <w:rFonts w:ascii="Times New Roman" w:hAnsi="Times New Roman" w:cs="Times New Roman"/>
        </w:rPr>
      </w:pPr>
    </w:p>
    <w:p w14:paraId="2DA6A3DB" w14:textId="73D11042" w:rsidR="006966BC" w:rsidRPr="00645B37" w:rsidRDefault="006966BC"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 xml:space="preserve">Food safety objective: </w:t>
      </w:r>
      <w:r w:rsidR="001C1A3F">
        <w:rPr>
          <w:rFonts w:ascii="Times New Roman" w:hAnsi="Times New Roman" w:cs="Times New Roman"/>
        </w:rPr>
        <w:t xml:space="preserve">optimize heat transfer to </w:t>
      </w:r>
      <w:r w:rsidRPr="00645B37">
        <w:rPr>
          <w:rFonts w:ascii="Times New Roman" w:hAnsi="Times New Roman" w:cs="Times New Roman"/>
        </w:rPr>
        <w:t>eliminate microbial contamination</w:t>
      </w:r>
      <w:r w:rsidR="00E765AD">
        <w:rPr>
          <w:rFonts w:ascii="Times New Roman" w:hAnsi="Times New Roman" w:cs="Times New Roman"/>
        </w:rPr>
        <w:t xml:space="preserve"> without compromising sensory attributes</w:t>
      </w:r>
    </w:p>
    <w:p w14:paraId="68F217BC" w14:textId="29CDF401" w:rsidR="006966BC" w:rsidRDefault="007F565E" w:rsidP="008D1534">
      <w:pPr>
        <w:spacing w:line="276" w:lineRule="auto"/>
        <w:jc w:val="both"/>
      </w:pPr>
      <w:r w:rsidRPr="00645B37">
        <w:t>The oven remains sealed during t</w:t>
      </w:r>
      <w:r w:rsidR="006966BC" w:rsidRPr="00645B37">
        <w:t xml:space="preserve">he </w:t>
      </w:r>
      <w:r w:rsidRPr="00645B37">
        <w:t xml:space="preserve">entire </w:t>
      </w:r>
      <w:r w:rsidR="006966BC" w:rsidRPr="00645B37">
        <w:t>cooking process</w:t>
      </w:r>
      <w:r w:rsidR="004653EA" w:rsidRPr="00645B37">
        <w:t xml:space="preserve">. </w:t>
      </w:r>
      <w:r w:rsidR="006966BC" w:rsidRPr="00645B37">
        <w:t xml:space="preserve">Any </w:t>
      </w:r>
      <w:r w:rsidR="00E765AD">
        <w:t xml:space="preserve">heat or </w:t>
      </w:r>
      <w:r w:rsidR="006966BC" w:rsidRPr="00645B37">
        <w:t xml:space="preserve">steam leaks should be quickly controlled by adding or adjusting covering materials. </w:t>
      </w:r>
      <w:r w:rsidR="004653EA" w:rsidRPr="00645B37">
        <w:t>The temperature inside the oven is not monitored and t</w:t>
      </w:r>
      <w:r w:rsidR="006966BC" w:rsidRPr="00645B37">
        <w:t>he end of the cooking process is determined based on traditional knowledge.</w:t>
      </w:r>
      <w:r w:rsidR="005B2F09" w:rsidRPr="00645B37">
        <w:t xml:space="preserve"> For example, a whole pig may take up to 8 hours to cook, whereas different meat cuts may take between 2 and 3 hours, depending on the size of the cut and the type of meat.</w:t>
      </w:r>
    </w:p>
    <w:p w14:paraId="779B5B03" w14:textId="77777777" w:rsidR="006966BC" w:rsidRPr="00645B37" w:rsidRDefault="006966BC" w:rsidP="008D1534">
      <w:pPr>
        <w:spacing w:line="276" w:lineRule="auto"/>
        <w:jc w:val="both"/>
      </w:pPr>
    </w:p>
    <w:p w14:paraId="4DDB9DE9" w14:textId="68B4D790" w:rsidR="006966BC" w:rsidRPr="00645B37" w:rsidRDefault="006966BC" w:rsidP="008D1534">
      <w:pPr>
        <w:pStyle w:val="ListParagraph"/>
        <w:numPr>
          <w:ilvl w:val="0"/>
          <w:numId w:val="5"/>
        </w:numPr>
        <w:spacing w:line="276" w:lineRule="auto"/>
        <w:jc w:val="both"/>
        <w:rPr>
          <w:rFonts w:ascii="Times New Roman" w:hAnsi="Times New Roman" w:cs="Times New Roman"/>
        </w:rPr>
      </w:pPr>
      <w:r w:rsidRPr="00645B37">
        <w:rPr>
          <w:rFonts w:ascii="Times New Roman" w:hAnsi="Times New Roman" w:cs="Times New Roman"/>
        </w:rPr>
        <w:t>Finished product handling</w:t>
      </w:r>
    </w:p>
    <w:p w14:paraId="518C73E4" w14:textId="77777777" w:rsidR="00841F8C" w:rsidRPr="00645B37" w:rsidRDefault="00841F8C" w:rsidP="008D1534">
      <w:pPr>
        <w:pStyle w:val="ListParagraph"/>
        <w:spacing w:line="276" w:lineRule="auto"/>
        <w:jc w:val="both"/>
        <w:rPr>
          <w:rFonts w:ascii="Times New Roman" w:hAnsi="Times New Roman" w:cs="Times New Roman"/>
        </w:rPr>
      </w:pPr>
    </w:p>
    <w:p w14:paraId="522D7BA4" w14:textId="3AD08FB3" w:rsidR="00274D0C" w:rsidRPr="00645B37" w:rsidRDefault="00274D0C"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Food safety objective: prevent the introduction or proliferation of contaminants in the food</w:t>
      </w:r>
    </w:p>
    <w:p w14:paraId="09DF7984" w14:textId="3F08C277" w:rsidR="00274D0C" w:rsidRPr="00645B37" w:rsidRDefault="006966BC" w:rsidP="008D1534">
      <w:pPr>
        <w:spacing w:line="276" w:lineRule="auto"/>
        <w:jc w:val="both"/>
      </w:pPr>
      <w:r w:rsidRPr="00645B37">
        <w:t>At the end of the cooking pro</w:t>
      </w:r>
      <w:r w:rsidR="00274D0C" w:rsidRPr="00645B37">
        <w:t xml:space="preserve">cess, the covering layers </w:t>
      </w:r>
      <w:r w:rsidR="004653EA" w:rsidRPr="00645B37">
        <w:t>should be</w:t>
      </w:r>
      <w:r w:rsidR="00274D0C" w:rsidRPr="00645B37">
        <w:t xml:space="preserve"> removed preventing dirt or other materials from being in contact with the food.</w:t>
      </w:r>
      <w:r w:rsidR="00E25E06">
        <w:t xml:space="preserve"> </w:t>
      </w:r>
      <w:r w:rsidR="00274D0C" w:rsidRPr="00645B37">
        <w:t>The cooked food</w:t>
      </w:r>
      <w:r w:rsidR="005B2F09" w:rsidRPr="00645B37">
        <w:t>s</w:t>
      </w:r>
      <w:r w:rsidR="00274D0C" w:rsidRPr="00645B37">
        <w:t xml:space="preserve"> should be handled following good hygiene practices. </w:t>
      </w:r>
    </w:p>
    <w:p w14:paraId="727EF778" w14:textId="67436B79" w:rsidR="00274D0C" w:rsidRPr="00645B37" w:rsidRDefault="00274D0C" w:rsidP="008D1534">
      <w:pPr>
        <w:spacing w:line="276" w:lineRule="auto"/>
        <w:jc w:val="both"/>
      </w:pPr>
      <w:r w:rsidRPr="00645B37">
        <w:t>Generally, food</w:t>
      </w:r>
      <w:r w:rsidR="005B2F09" w:rsidRPr="00645B37">
        <w:t>s</w:t>
      </w:r>
      <w:r w:rsidRPr="00645B37">
        <w:t xml:space="preserve"> cooked in an underground oven </w:t>
      </w:r>
      <w:r w:rsidR="005B2F09" w:rsidRPr="00645B37">
        <w:t>are</w:t>
      </w:r>
      <w:r w:rsidRPr="00645B37">
        <w:t xml:space="preserve"> consumed during </w:t>
      </w:r>
      <w:r w:rsidR="004B2648" w:rsidRPr="00645B37">
        <w:t>an</w:t>
      </w:r>
      <w:r w:rsidRPr="00645B37">
        <w:t xml:space="preserve"> event (e.g., festival, wedding), and should be maintained at safe hot holding temperatures (&gt;60 °C or national standard) throughout. </w:t>
      </w:r>
    </w:p>
    <w:p w14:paraId="761E4565" w14:textId="1DCBDC69" w:rsidR="004B2648" w:rsidRPr="00645B37" w:rsidRDefault="004B2648" w:rsidP="008D1534">
      <w:pPr>
        <w:spacing w:line="276" w:lineRule="auto"/>
        <w:jc w:val="both"/>
      </w:pPr>
      <w:r w:rsidRPr="00645B37">
        <w:t>If food</w:t>
      </w:r>
      <w:r w:rsidR="005B2F09" w:rsidRPr="00645B37">
        <w:t>s</w:t>
      </w:r>
      <w:r w:rsidRPr="00645B37">
        <w:t xml:space="preserve"> prepared using this method </w:t>
      </w:r>
      <w:r w:rsidR="005B2F09" w:rsidRPr="00645B37">
        <w:t>are</w:t>
      </w:r>
      <w:r w:rsidRPr="00645B37">
        <w:t xml:space="preserve"> to be </w:t>
      </w:r>
      <w:r w:rsidR="005B2F09" w:rsidRPr="00645B37">
        <w:t>stored</w:t>
      </w:r>
      <w:r w:rsidRPr="00645B37">
        <w:t xml:space="preserve"> (McNamara &amp; Prasad, 2014), cooling time and temperature guidelines should be followed</w:t>
      </w:r>
      <w:r w:rsidR="00732EA8" w:rsidRPr="00645B37">
        <w:t xml:space="preserve"> to prevent microbial growth and spore germination</w:t>
      </w:r>
      <w:r w:rsidRPr="00645B37">
        <w:t xml:space="preserve">, and </w:t>
      </w:r>
      <w:r w:rsidR="005B2F09" w:rsidRPr="00645B37">
        <w:t xml:space="preserve">they </w:t>
      </w:r>
      <w:r w:rsidRPr="00645B37">
        <w:t>should be stored refrigerat</w:t>
      </w:r>
      <w:r w:rsidR="005B2F09" w:rsidRPr="00645B37">
        <w:t>ed</w:t>
      </w:r>
      <w:r w:rsidRPr="00645B37">
        <w:t xml:space="preserve"> until the time of reheating and consumption.</w:t>
      </w:r>
    </w:p>
    <w:p w14:paraId="621579EF" w14:textId="77777777" w:rsidR="00C05314" w:rsidRPr="00645B37" w:rsidRDefault="00C05314" w:rsidP="008D1534">
      <w:pPr>
        <w:spacing w:line="276" w:lineRule="auto"/>
        <w:jc w:val="both"/>
      </w:pPr>
    </w:p>
    <w:p w14:paraId="5B26D892" w14:textId="77777777" w:rsidR="00C05314" w:rsidRPr="00645B37" w:rsidRDefault="00C05314" w:rsidP="008D1534">
      <w:pPr>
        <w:spacing w:line="276" w:lineRule="auto"/>
        <w:jc w:val="both"/>
      </w:pPr>
    </w:p>
    <w:p w14:paraId="34F65CCC" w14:textId="77093CE5" w:rsidR="00BF4D5B" w:rsidRPr="00FB769B" w:rsidRDefault="003542B7" w:rsidP="00FB769B">
      <w:pPr>
        <w:pStyle w:val="ListParagraph"/>
        <w:numPr>
          <w:ilvl w:val="0"/>
          <w:numId w:val="9"/>
        </w:numPr>
        <w:spacing w:line="276" w:lineRule="auto"/>
        <w:jc w:val="both"/>
        <w:rPr>
          <w:rFonts w:ascii="Times New Roman" w:hAnsi="Times New Roman" w:cs="Times New Roman"/>
          <w:b/>
          <w:bCs/>
        </w:rPr>
      </w:pPr>
      <w:r w:rsidRPr="00FB769B">
        <w:rPr>
          <w:rFonts w:ascii="Times New Roman" w:hAnsi="Times New Roman" w:cs="Times New Roman"/>
          <w:b/>
          <w:bCs/>
        </w:rPr>
        <w:t>Challenges and r</w:t>
      </w:r>
      <w:r w:rsidR="008973C6" w:rsidRPr="00FB769B">
        <w:rPr>
          <w:rFonts w:ascii="Times New Roman" w:hAnsi="Times New Roman" w:cs="Times New Roman"/>
          <w:b/>
          <w:bCs/>
        </w:rPr>
        <w:t>ecommendations</w:t>
      </w:r>
    </w:p>
    <w:p w14:paraId="59F84732" w14:textId="77777777" w:rsidR="00C013D4" w:rsidRPr="00645B37" w:rsidRDefault="00C013D4" w:rsidP="008D1534">
      <w:pPr>
        <w:spacing w:line="276" w:lineRule="auto"/>
        <w:jc w:val="both"/>
      </w:pPr>
    </w:p>
    <w:p w14:paraId="6170FCCC" w14:textId="2C8A3892" w:rsidR="00C013D4" w:rsidRPr="00645B37" w:rsidRDefault="00C013D4" w:rsidP="008D1534">
      <w:pPr>
        <w:spacing w:line="276" w:lineRule="auto"/>
        <w:jc w:val="both"/>
      </w:pPr>
      <w:r w:rsidRPr="00645B37">
        <w:t>The underground oven</w:t>
      </w:r>
      <w:r w:rsidR="00B369C7" w:rsidRPr="00645B37">
        <w:t xml:space="preserve"> cooking method</w:t>
      </w:r>
      <w:r w:rsidRPr="00645B37">
        <w:t xml:space="preserve">, when managed appropriately, can produce safe </w:t>
      </w:r>
      <w:r w:rsidR="00370FA9" w:rsidRPr="00645B37">
        <w:t xml:space="preserve">and tasty </w:t>
      </w:r>
      <w:r w:rsidRPr="00645B37">
        <w:t>foods</w:t>
      </w:r>
      <w:r w:rsidR="00522B80" w:rsidRPr="00645B37">
        <w:t xml:space="preserve">. This may be supported </w:t>
      </w:r>
      <w:r w:rsidR="00F75FDB" w:rsidRPr="00645B37">
        <w:t>by a safe history of use</w:t>
      </w:r>
      <w:r w:rsidR="00841F8C" w:rsidRPr="00645B37">
        <w:t xml:space="preserve"> –</w:t>
      </w:r>
      <w:r w:rsidR="00522B80" w:rsidRPr="00645B37">
        <w:t xml:space="preserve"> although the prevalence of unreported, small-scale outbreaks, causing only mild symptoms </w:t>
      </w:r>
      <w:r w:rsidR="00841F8C" w:rsidRPr="00645B37">
        <w:t>and/</w:t>
      </w:r>
      <w:r w:rsidR="00522B80" w:rsidRPr="00645B37">
        <w:t>or associated with microbial agents requiring a long incubation time, cannot be discarded</w:t>
      </w:r>
      <w:r w:rsidRPr="00645B37">
        <w:t xml:space="preserve">. </w:t>
      </w:r>
      <w:r w:rsidR="00522B80" w:rsidRPr="00645B37">
        <w:t xml:space="preserve">Indeed, </w:t>
      </w:r>
      <w:r w:rsidR="00AB47C9">
        <w:t>most underground ovens replicate baking</w:t>
      </w:r>
      <w:r w:rsidR="003D7112">
        <w:t xml:space="preserve"> and/or steaming, </w:t>
      </w:r>
      <w:r w:rsidR="00B369C7" w:rsidRPr="00645B37">
        <w:t>standard and effective cooking technolog</w:t>
      </w:r>
      <w:r w:rsidR="003D7112">
        <w:t>ies</w:t>
      </w:r>
      <w:r w:rsidR="00B369C7" w:rsidRPr="00645B37">
        <w:t xml:space="preserve">. This effectiveness, however, relies on the applied cooking time and temperature – parameters that need to be validated for specific foods and process characteristics, and that need to be monitored during processing. Thus, the lack of validation and monitoring of these parameters is the main challenge for </w:t>
      </w:r>
      <w:r w:rsidR="0099653F" w:rsidRPr="00645B37">
        <w:t xml:space="preserve">objectively </w:t>
      </w:r>
      <w:r w:rsidR="00B369C7" w:rsidRPr="00645B37">
        <w:t xml:space="preserve">establishing the safety of meals cooked in underground ovens. </w:t>
      </w:r>
    </w:p>
    <w:p w14:paraId="786AF8AF" w14:textId="77777777" w:rsidR="007046E2" w:rsidRPr="00645B37" w:rsidRDefault="007046E2" w:rsidP="008D1534">
      <w:pPr>
        <w:spacing w:line="276" w:lineRule="auto"/>
        <w:jc w:val="both"/>
      </w:pPr>
    </w:p>
    <w:p w14:paraId="1CEA7C37" w14:textId="4B0931E6" w:rsidR="007046E2" w:rsidRPr="00645B37" w:rsidRDefault="007046E2" w:rsidP="008D1534">
      <w:pPr>
        <w:spacing w:line="276" w:lineRule="auto"/>
        <w:jc w:val="both"/>
      </w:pPr>
      <w:r w:rsidRPr="00645B37">
        <w:t xml:space="preserve">Currently, traditional knowledge is used to determine processing parameters, including time and temperature. </w:t>
      </w:r>
      <w:r w:rsidR="00B30B45">
        <w:t>S</w:t>
      </w:r>
      <w:r w:rsidRPr="00645B37">
        <w:t>tud</w:t>
      </w:r>
      <w:r w:rsidR="00B30B45">
        <w:t>ies</w:t>
      </w:r>
      <w:r w:rsidRPr="00645B37">
        <w:t xml:space="preserve"> systematically measur</w:t>
      </w:r>
      <w:r w:rsidR="00B30B45">
        <w:t>ing</w:t>
      </w:r>
      <w:r w:rsidRPr="00645B37">
        <w:t xml:space="preserve"> cooking temperatures reached in underground ovens </w:t>
      </w:r>
      <w:r w:rsidR="00B30B45">
        <w:t>are very rare</w:t>
      </w:r>
      <w:r w:rsidR="000F3C80">
        <w:t xml:space="preserve">, </w:t>
      </w:r>
      <w:r w:rsidRPr="00645B37">
        <w:t xml:space="preserve">and </w:t>
      </w:r>
      <w:r w:rsidR="00B30B45">
        <w:t>report</w:t>
      </w:r>
      <w:r w:rsidRPr="00645B37">
        <w:t xml:space="preserve"> important variability between event locations</w:t>
      </w:r>
      <w:r w:rsidR="00B30B45">
        <w:t>,</w:t>
      </w:r>
      <w:r w:rsidRPr="00645B37">
        <w:t xml:space="preserve"> temperature probe placement</w:t>
      </w:r>
      <w:r w:rsidR="00D3440A" w:rsidRPr="00645B37">
        <w:t>s</w:t>
      </w:r>
      <w:r w:rsidRPr="00645B37">
        <w:t xml:space="preserve"> inside the oven</w:t>
      </w:r>
      <w:r w:rsidR="00B30B45">
        <w:t>, and oven design</w:t>
      </w:r>
      <w:r w:rsidRPr="00645B37">
        <w:t xml:space="preserve">. </w:t>
      </w:r>
      <w:commentRangeStart w:id="2"/>
      <w:r w:rsidR="00D07B5C">
        <w:t>Specifically</w:t>
      </w:r>
      <w:r w:rsidR="000F3C80">
        <w:t xml:space="preserve">, temperatures ranging from 60-310 °C were measured in different ovens from Papua New Guinea (Sopade, 2000), and rarely above 100 °C in Australia (Sellers &amp; </w:t>
      </w:r>
      <w:r w:rsidR="000F3C80" w:rsidRPr="00645B37">
        <w:t>Heggie</w:t>
      </w:r>
      <w:r w:rsidR="000F3C80">
        <w:t xml:space="preserve">, </w:t>
      </w:r>
      <w:r w:rsidR="000F3C80" w:rsidRPr="00645B37">
        <w:t>2005)</w:t>
      </w:r>
      <w:r w:rsidR="000F3C80">
        <w:t>.</w:t>
      </w:r>
      <w:commentRangeEnd w:id="2"/>
      <w:r w:rsidR="003D7112">
        <w:rPr>
          <w:rStyle w:val="CommentReference"/>
          <w:sz w:val="24"/>
          <w:szCs w:val="24"/>
        </w:rPr>
        <w:commentReference w:id="2"/>
      </w:r>
      <w:r w:rsidR="000F3C80">
        <w:t xml:space="preserve"> Furthermore, Sellers and </w:t>
      </w:r>
      <w:r w:rsidR="000F3C80" w:rsidRPr="00645B37">
        <w:t>Heggie</w:t>
      </w:r>
      <w:r w:rsidR="000F3C80">
        <w:t xml:space="preserve"> (</w:t>
      </w:r>
      <w:r w:rsidR="000F3C80" w:rsidRPr="00645B37">
        <w:t>2005</w:t>
      </w:r>
      <w:r w:rsidR="000F3C80">
        <w:t xml:space="preserve">) </w:t>
      </w:r>
      <w:r w:rsidR="00B30B45">
        <w:t>detected</w:t>
      </w:r>
      <w:r w:rsidRPr="00645B37">
        <w:t xml:space="preserve"> high levels of </w:t>
      </w:r>
      <w:r w:rsidRPr="00645B37">
        <w:rPr>
          <w:i/>
          <w:iCs/>
        </w:rPr>
        <w:t>Bacillus cereus</w:t>
      </w:r>
      <w:r w:rsidR="00E65648" w:rsidRPr="00645B37">
        <w:t xml:space="preserve"> –</w:t>
      </w:r>
      <w:r w:rsidRPr="00645B37">
        <w:t xml:space="preserve"> a pathogen commonly found in soil and vegetation</w:t>
      </w:r>
      <w:r w:rsidR="00E65648" w:rsidRPr="00645B37">
        <w:t>,</w:t>
      </w:r>
      <w:r w:rsidRPr="00645B37">
        <w:t xml:space="preserve"> and </w:t>
      </w:r>
      <w:r w:rsidR="00E65648" w:rsidRPr="00645B37">
        <w:t>associated with foodborne illness caused by consumption of contaminated starchy foods</w:t>
      </w:r>
      <w:r w:rsidR="0099653F" w:rsidRPr="00645B37">
        <w:t xml:space="preserve"> (FDA, 2012)</w:t>
      </w:r>
      <w:r w:rsidR="00E65648" w:rsidRPr="00645B37">
        <w:t xml:space="preserve">. </w:t>
      </w:r>
      <w:r w:rsidR="0099653F" w:rsidRPr="00645B37">
        <w:t xml:space="preserve">In addition, although not linked to foods cooked </w:t>
      </w:r>
      <w:r w:rsidR="00370FA9" w:rsidRPr="00645B37">
        <w:t>in u</w:t>
      </w:r>
      <w:r w:rsidR="0099653F" w:rsidRPr="00645B37">
        <w:t xml:space="preserve">nderground ovens in the scientific literature, </w:t>
      </w:r>
      <w:r w:rsidR="0099653F" w:rsidRPr="00645B37">
        <w:rPr>
          <w:i/>
          <w:iCs/>
        </w:rPr>
        <w:t>Clostridium perfringens</w:t>
      </w:r>
      <w:r w:rsidR="00D3440A" w:rsidRPr="00645B37">
        <w:t xml:space="preserve"> may</w:t>
      </w:r>
      <w:r w:rsidR="0099653F" w:rsidRPr="00645B37">
        <w:t xml:space="preserve"> </w:t>
      </w:r>
      <w:r w:rsidR="00D3440A" w:rsidRPr="00645B37">
        <w:t xml:space="preserve">proliferate in </w:t>
      </w:r>
      <w:r w:rsidR="0099653F" w:rsidRPr="00645B37">
        <w:t xml:space="preserve">meat-based products subject to </w:t>
      </w:r>
      <w:r w:rsidR="00D3440A" w:rsidRPr="00645B37">
        <w:t>uneven and insufficient cooking temperatures</w:t>
      </w:r>
      <w:r w:rsidR="0099653F" w:rsidRPr="00645B37">
        <w:t xml:space="preserve"> (e.g., donner kebab – Cagri-Mehmetoglu, 2018). </w:t>
      </w:r>
      <w:r w:rsidR="00E65648" w:rsidRPr="00645B37">
        <w:t xml:space="preserve">Thus, further studies documenting cooking temperatures and microbial quality of foods cooked in underground ovens would greatly contribute to objectively assessing the performance of this method. </w:t>
      </w:r>
    </w:p>
    <w:p w14:paraId="26426010" w14:textId="77777777" w:rsidR="00E65648" w:rsidRPr="00645B37" w:rsidRDefault="00E65648" w:rsidP="008D1534">
      <w:pPr>
        <w:spacing w:line="276" w:lineRule="auto"/>
        <w:jc w:val="both"/>
      </w:pPr>
    </w:p>
    <w:p w14:paraId="3B7445D1" w14:textId="05F464A9" w:rsidR="00C013D4" w:rsidRPr="00645B37" w:rsidRDefault="00E65648" w:rsidP="008D1534">
      <w:pPr>
        <w:spacing w:line="276" w:lineRule="auto"/>
        <w:jc w:val="both"/>
      </w:pPr>
      <w:r w:rsidRPr="00645B37">
        <w:t>The handling of foods and food contact materials is also currently performed based on traditional customs, which do not necessarily align with good hygiene practices</w:t>
      </w:r>
      <w:r w:rsidR="00522B80" w:rsidRPr="00645B37">
        <w:t xml:space="preserve"> or recognized food safety standards</w:t>
      </w:r>
      <w:r w:rsidRPr="00645B37">
        <w:t xml:space="preserve">. </w:t>
      </w:r>
      <w:r w:rsidR="0099653F" w:rsidRPr="00645B37">
        <w:t xml:space="preserve">For example, Sellars and Heggie (2005) noted that the banana leaves used in one of the events studied had significant contact with soil. Other risky practices that could affect the safety of the cooked food </w:t>
      </w:r>
      <w:r w:rsidR="00003734" w:rsidRPr="00645B37">
        <w:t>include but are not limited to</w:t>
      </w:r>
      <w:r w:rsidR="0099653F" w:rsidRPr="00645B37">
        <w:t xml:space="preserve"> holding raw meat near the oven for extended periods</w:t>
      </w:r>
      <w:r w:rsidR="00003734" w:rsidRPr="00645B37">
        <w:t xml:space="preserve"> (microbial proliferation),</w:t>
      </w:r>
      <w:r w:rsidR="0099653F" w:rsidRPr="00645B37">
        <w:t xml:space="preserve"> placing frozen meat directly in the oven</w:t>
      </w:r>
      <w:r w:rsidR="00003734" w:rsidRPr="00645B37">
        <w:t xml:space="preserve"> (insufficient temperatures reached at the end of the cooking process), or unsanitary handling of raw materials (introduction of </w:t>
      </w:r>
      <w:r w:rsidR="00003734" w:rsidRPr="00645B37">
        <w:rPr>
          <w:i/>
          <w:iCs/>
        </w:rPr>
        <w:t xml:space="preserve">Staphylococcus aureus </w:t>
      </w:r>
      <w:r w:rsidR="00003734" w:rsidRPr="00645B37">
        <w:t xml:space="preserve">from food handlers and </w:t>
      </w:r>
      <w:r w:rsidR="001F7E53">
        <w:t>production</w:t>
      </w:r>
      <w:r w:rsidR="00003734" w:rsidRPr="00645B37">
        <w:t xml:space="preserve"> of enterotoxins in the food)</w:t>
      </w:r>
      <w:r w:rsidR="0099653F" w:rsidRPr="00645B37">
        <w:t>. Thus, t</w:t>
      </w:r>
      <w:r w:rsidRPr="00645B37">
        <w:t>he development of hygiene</w:t>
      </w:r>
      <w:r w:rsidR="00F75FDB" w:rsidRPr="00645B37">
        <w:t xml:space="preserve"> and processing</w:t>
      </w:r>
      <w:r w:rsidRPr="00645B37">
        <w:t xml:space="preserve"> guidelines specific to this </w:t>
      </w:r>
      <w:r w:rsidR="00F75FDB" w:rsidRPr="00645B37">
        <w:t>method</w:t>
      </w:r>
      <w:r w:rsidRPr="00645B37">
        <w:t xml:space="preserve"> is warranted but should</w:t>
      </w:r>
      <w:r w:rsidR="00370FA9" w:rsidRPr="00645B37">
        <w:t xml:space="preserve"> accompany </w:t>
      </w:r>
      <w:r w:rsidRPr="00645B37">
        <w:t xml:space="preserve">an education effort on more basic food hygiene awareness. Consultation with hotels and other tourism venues using this cooking method under more standardized practices and stricter hygiene controls would be beneficial and informative. </w:t>
      </w:r>
    </w:p>
    <w:p w14:paraId="7EE194DA" w14:textId="77777777" w:rsidR="00E65648" w:rsidRPr="00645B37" w:rsidRDefault="00E65648" w:rsidP="008D1534">
      <w:pPr>
        <w:spacing w:line="276" w:lineRule="auto"/>
        <w:jc w:val="both"/>
      </w:pPr>
    </w:p>
    <w:p w14:paraId="06FE71F5" w14:textId="6B1980AB" w:rsidR="00C013D4" w:rsidRPr="00645B37" w:rsidRDefault="0099653F" w:rsidP="008D1534">
      <w:pPr>
        <w:spacing w:line="276" w:lineRule="auto"/>
        <w:jc w:val="both"/>
      </w:pPr>
      <w:r w:rsidRPr="00645B37">
        <w:t>Control measures related to safe handling of ingredients and cooking are dependent on the hygienic quality of the raw materials. Chong and Stephenson (2022) noted that</w:t>
      </w:r>
      <w:r w:rsidR="00EF27EE">
        <w:t xml:space="preserve">, </w:t>
      </w:r>
      <w:r w:rsidR="00EF27EE" w:rsidRPr="00645B37">
        <w:t>due to the low quality of local meat and seafood and the lack of food safety standards</w:t>
      </w:r>
      <w:r w:rsidR="00EF27EE">
        <w:t>,</w:t>
      </w:r>
      <w:r w:rsidRPr="00645B37">
        <w:t xml:space="preserve"> hotels adhering to corporate policies on food safety are likely to rely on imported ingredients when using underground ovens</w:t>
      </w:r>
      <w:r w:rsidR="00EF27EE">
        <w:t>.</w:t>
      </w:r>
      <w:r w:rsidRPr="00645B37">
        <w:t xml:space="preserve"> </w:t>
      </w:r>
      <w:r w:rsidR="00003734" w:rsidRPr="00645B37">
        <w:t>Native communities,</w:t>
      </w:r>
      <w:r w:rsidRPr="00645B37">
        <w:t xml:space="preserve"> however</w:t>
      </w:r>
      <w:r w:rsidR="00003734" w:rsidRPr="00645B37">
        <w:t>,</w:t>
      </w:r>
      <w:r w:rsidRPr="00645B37">
        <w:t xml:space="preserve"> are more likely to use loca</w:t>
      </w:r>
      <w:r w:rsidR="00522B80" w:rsidRPr="00645B37">
        <w:t xml:space="preserve">l </w:t>
      </w:r>
      <w:r w:rsidRPr="00645B37">
        <w:t>ingredients</w:t>
      </w:r>
      <w:r w:rsidR="00522B80" w:rsidRPr="00645B37">
        <w:t>, which may carry pathogens of public health significance (</w:t>
      </w:r>
      <w:r w:rsidR="00522B80" w:rsidRPr="00645B37">
        <w:rPr>
          <w:i/>
          <w:iCs/>
        </w:rPr>
        <w:t xml:space="preserve">Salmonella </w:t>
      </w:r>
      <w:r w:rsidR="00522B80" w:rsidRPr="00645B37">
        <w:t xml:space="preserve">spp., </w:t>
      </w:r>
      <w:r w:rsidR="00522B80" w:rsidRPr="00645B37">
        <w:rPr>
          <w:i/>
          <w:iCs/>
        </w:rPr>
        <w:t xml:space="preserve">Listeria monocytogenes, </w:t>
      </w:r>
      <w:r w:rsidR="00522B80" w:rsidRPr="00645B37">
        <w:t xml:space="preserve">pathogenic </w:t>
      </w:r>
      <w:r w:rsidR="00522B80" w:rsidRPr="00645B37">
        <w:rPr>
          <w:i/>
          <w:iCs/>
        </w:rPr>
        <w:t>E. coli</w:t>
      </w:r>
      <w:r w:rsidR="00522B80" w:rsidRPr="00645B37">
        <w:t>)</w:t>
      </w:r>
      <w:r w:rsidRPr="00645B37">
        <w:t xml:space="preserve">. Thus, enhancing and standardizing the hygienic quality of domestic raw ingredients is a foundational requirement for the safety of foods cooked using traditional methods. </w:t>
      </w:r>
    </w:p>
    <w:p w14:paraId="7B0EBCF1" w14:textId="77777777" w:rsidR="00F75FDB" w:rsidRPr="00645B37" w:rsidRDefault="00F75FDB" w:rsidP="008D1534">
      <w:pPr>
        <w:spacing w:line="276" w:lineRule="auto"/>
        <w:jc w:val="both"/>
      </w:pPr>
    </w:p>
    <w:p w14:paraId="0A7E0446" w14:textId="786C4B91" w:rsidR="00522B80" w:rsidRPr="00645B37" w:rsidRDefault="00841F8C" w:rsidP="008D1534">
      <w:pPr>
        <w:spacing w:line="276" w:lineRule="auto"/>
        <w:jc w:val="both"/>
      </w:pPr>
      <w:r w:rsidRPr="00645B37">
        <w:t>Yet, a</w:t>
      </w:r>
      <w:r w:rsidR="00522B80" w:rsidRPr="00645B37">
        <w:t xml:space="preserve">s in most thermal processes, pathogen lethality is controlled with the achieved cooking parameters. Sellars and Heggie (2005) suggest that users </w:t>
      </w:r>
      <w:r w:rsidRPr="00645B37">
        <w:t>should</w:t>
      </w:r>
      <w:r w:rsidR="00522B80" w:rsidRPr="00645B37">
        <w:t xml:space="preserve"> be well versed in the underground oven method so that the temperatures achieved in the food can be relied </w:t>
      </w:r>
      <w:r w:rsidR="008F2A54" w:rsidRPr="00645B37">
        <w:t>upon</w:t>
      </w:r>
      <w:r w:rsidR="00522B80" w:rsidRPr="00645B37">
        <w:t xml:space="preserve"> as a pathogen reducing step. </w:t>
      </w:r>
      <w:r w:rsidRPr="00645B37">
        <w:t>However</w:t>
      </w:r>
      <w:r w:rsidR="00522B80" w:rsidRPr="00645B37">
        <w:t>, c</w:t>
      </w:r>
      <w:r w:rsidR="00F75FDB" w:rsidRPr="00645B37">
        <w:t xml:space="preserve">onsidering the variability between community-specific cooking practices </w:t>
      </w:r>
      <w:r w:rsidR="00ED1DE1">
        <w:t xml:space="preserve">and oven designs, </w:t>
      </w:r>
      <w:r w:rsidR="00F75FDB" w:rsidRPr="00645B37">
        <w:t xml:space="preserve">and the inconsistent microbial quality of the raw materials, the only option to ensure the safety of the cooked foods is to monitor </w:t>
      </w:r>
      <w:r w:rsidR="00522B80" w:rsidRPr="00645B37">
        <w:t xml:space="preserve">the achievement of previously validated </w:t>
      </w:r>
      <w:r w:rsidR="00F75FDB" w:rsidRPr="00645B37">
        <w:t xml:space="preserve">cooking </w:t>
      </w:r>
      <w:r w:rsidR="00522B80" w:rsidRPr="00645B37">
        <w:t xml:space="preserve">time and </w:t>
      </w:r>
      <w:r w:rsidR="00F75FDB" w:rsidRPr="00645B37">
        <w:t>temperature. This measure is feasible with handheld, battery-operated temperature probes; however, it is unlikely to be implemented in traditional settings. In these cases, the acceptance of “residual” risk (Benkerroum, 2013) could be considered, where consumption of potentially hazardous foods (e.g., meat, poultry) cooked in underground ovens without temperature monitoring</w:t>
      </w:r>
      <w:r w:rsidR="00522B80" w:rsidRPr="00645B37">
        <w:t xml:space="preserve"> – but following all </w:t>
      </w:r>
      <w:r w:rsidR="00861132" w:rsidRPr="00645B37">
        <w:t xml:space="preserve">other </w:t>
      </w:r>
      <w:r w:rsidR="00522B80" w:rsidRPr="00645B37">
        <w:t>feasible food safety and hygiene measures –</w:t>
      </w:r>
      <w:r w:rsidR="00F75FDB" w:rsidRPr="00645B37">
        <w:t xml:space="preserve"> is not recommended for vulnerable populations (e.g., pregnant women, young children, elderly, immunocompromised individuals).</w:t>
      </w:r>
      <w:r w:rsidR="00522B80" w:rsidRPr="00645B37">
        <w:t xml:space="preserve"> The implementation of basic preventive measures, following a Hazard Analysis Critical Control Point (HACCP) approach, would be essential to limit this “residual” risk as much as possible. Although a formal HACCP program is unlikely to be adopted in traditional settings, training and capacity building initiatives based on this framework and on relevant Codex Alimentarius guidance should be encouraged. </w:t>
      </w:r>
    </w:p>
    <w:p w14:paraId="79A5D278" w14:textId="1F76A535" w:rsidR="00F75FDB" w:rsidRPr="00645B37" w:rsidRDefault="00F75FDB" w:rsidP="008D1534">
      <w:pPr>
        <w:spacing w:line="276" w:lineRule="auto"/>
        <w:jc w:val="both"/>
      </w:pPr>
    </w:p>
    <w:p w14:paraId="63460EE5" w14:textId="17CED5E9" w:rsidR="008F2A54" w:rsidRPr="00645B37" w:rsidRDefault="00861132" w:rsidP="008D1534">
      <w:pPr>
        <w:spacing w:line="276" w:lineRule="auto"/>
        <w:jc w:val="both"/>
      </w:pPr>
      <w:r w:rsidRPr="00645B37">
        <w:t>Finally, it is well-known that traditional food preparation methods face important challenges when confronted with national food hygiene legislation, usually designed for large businesses</w:t>
      </w:r>
      <w:r w:rsidR="00ED1DE1">
        <w:t>,</w:t>
      </w:r>
      <w:r w:rsidRPr="00645B37">
        <w:t xml:space="preserve"> and likely to drive traditional producers to the informal market (van der Meulen et al., 2016). To preserve their role in the </w:t>
      </w:r>
      <w:r w:rsidR="004B6959" w:rsidRPr="00645B37">
        <w:t>economy</w:t>
      </w:r>
      <w:r w:rsidRPr="00645B37">
        <w:t xml:space="preserve">, the </w:t>
      </w:r>
      <w:r w:rsidR="00841F8C" w:rsidRPr="00645B37">
        <w:t>society</w:t>
      </w:r>
      <w:r w:rsidR="00355A8B" w:rsidRPr="00645B37">
        <w:t>,</w:t>
      </w:r>
      <w:r w:rsidRPr="00645B37">
        <w:t xml:space="preserve"> and the food security of th</w:t>
      </w:r>
      <w:r w:rsidR="00355A8B" w:rsidRPr="00645B37">
        <w:t>eir</w:t>
      </w:r>
      <w:r w:rsidRPr="00645B37">
        <w:t xml:space="preserve"> region, </w:t>
      </w:r>
      <w:r w:rsidR="00355A8B" w:rsidRPr="00645B37">
        <w:t>a</w:t>
      </w:r>
      <w:r w:rsidRPr="00645B37">
        <w:t>n incremental approach to food safety</w:t>
      </w:r>
      <w:r w:rsidR="00355A8B" w:rsidRPr="00645B37">
        <w:t xml:space="preserve"> is recommended</w:t>
      </w:r>
      <w:r w:rsidRPr="00645B37">
        <w:t>, based on the development of fundamental capacities on food hygiene, the enhancement of raw materials’ hygienic quality, and education efforts targeting producers and consumers on the risks associated with the finished products</w:t>
      </w:r>
      <w:r w:rsidR="00355A8B" w:rsidRPr="00645B37">
        <w:t>.</w:t>
      </w:r>
    </w:p>
    <w:p w14:paraId="19DAEB35" w14:textId="77777777" w:rsidR="008F2A54" w:rsidRPr="00645B37" w:rsidRDefault="008F2A54" w:rsidP="008D1534">
      <w:pPr>
        <w:spacing w:line="276" w:lineRule="auto"/>
        <w:jc w:val="both"/>
      </w:pPr>
    </w:p>
    <w:p w14:paraId="0537D217" w14:textId="77777777" w:rsidR="008F2A54" w:rsidRPr="00645B37" w:rsidRDefault="008F2A54" w:rsidP="008F2A54">
      <w:pPr>
        <w:spacing w:line="276" w:lineRule="auto"/>
        <w:jc w:val="both"/>
        <w:rPr>
          <w:b/>
          <w:bCs/>
        </w:rPr>
      </w:pPr>
    </w:p>
    <w:p w14:paraId="5D779421" w14:textId="4870F42E" w:rsidR="00841F8C" w:rsidRPr="00FB769B" w:rsidRDefault="00841F8C" w:rsidP="00FB769B">
      <w:pPr>
        <w:pStyle w:val="ListParagraph"/>
        <w:numPr>
          <w:ilvl w:val="0"/>
          <w:numId w:val="9"/>
        </w:numPr>
        <w:spacing w:line="276" w:lineRule="auto"/>
        <w:jc w:val="both"/>
        <w:rPr>
          <w:rFonts w:ascii="Times New Roman" w:hAnsi="Times New Roman" w:cs="Times New Roman"/>
          <w:b/>
          <w:bCs/>
        </w:rPr>
      </w:pPr>
      <w:commentRangeStart w:id="3"/>
      <w:r w:rsidRPr="00FB769B">
        <w:rPr>
          <w:rFonts w:ascii="Times New Roman" w:hAnsi="Times New Roman" w:cs="Times New Roman"/>
          <w:b/>
          <w:bCs/>
        </w:rPr>
        <w:t>References</w:t>
      </w:r>
      <w:commentRangeEnd w:id="3"/>
      <w:r w:rsidR="003608B8" w:rsidRPr="00FB769B">
        <w:rPr>
          <w:rStyle w:val="CommentReference"/>
          <w:rFonts w:ascii="Times New Roman" w:hAnsi="Times New Roman" w:cs="Times New Roman"/>
          <w:b/>
          <w:bCs/>
          <w:sz w:val="24"/>
          <w:szCs w:val="24"/>
        </w:rPr>
        <w:commentReference w:id="3"/>
      </w:r>
    </w:p>
    <w:p w14:paraId="727B18DA" w14:textId="77777777" w:rsidR="00841F8C" w:rsidRPr="00645B37" w:rsidRDefault="00841F8C" w:rsidP="008D1534">
      <w:pPr>
        <w:spacing w:line="276" w:lineRule="auto"/>
        <w:jc w:val="both"/>
      </w:pPr>
    </w:p>
    <w:p w14:paraId="30C8CBD2" w14:textId="533D4ADB" w:rsidR="00834853" w:rsidRDefault="00834853" w:rsidP="00834853">
      <w:pPr>
        <w:pStyle w:val="ListParagraph"/>
        <w:numPr>
          <w:ilvl w:val="0"/>
          <w:numId w:val="3"/>
        </w:numPr>
        <w:rPr>
          <w:rFonts w:ascii="Times New Roman" w:hAnsi="Times New Roman" w:cs="Times New Roman"/>
        </w:rPr>
      </w:pPr>
      <w:r w:rsidRPr="00834853">
        <w:rPr>
          <w:rFonts w:ascii="Times New Roman" w:hAnsi="Times New Roman" w:cs="Times New Roman"/>
        </w:rPr>
        <w:t>Alfred, J. M. 2003. Marshallese food preservation projects. Republic of the Marshall Islands – Household Nutrition Education Program</w:t>
      </w:r>
      <w:r>
        <w:rPr>
          <w:rFonts w:ascii="Times New Roman" w:hAnsi="Times New Roman" w:cs="Times New Roman"/>
        </w:rPr>
        <w:t>.</w:t>
      </w:r>
      <w:r w:rsidRPr="00834853">
        <w:rPr>
          <w:rFonts w:ascii="Times New Roman" w:hAnsi="Times New Roman" w:cs="Times New Roman"/>
        </w:rPr>
        <w:t xml:space="preserve"> </w:t>
      </w:r>
      <w:hyperlink r:id="rId11" w:history="1">
        <w:r w:rsidR="009A7CE2" w:rsidRPr="00B15C18">
          <w:rPr>
            <w:rStyle w:val="Hyperlink"/>
            <w:rFonts w:ascii="Times New Roman" w:hAnsi="Times New Roman" w:cs="Times New Roman"/>
          </w:rPr>
          <w:t>https://scholarspace.manoa.hawaii.edu/server/api/core/bitstreams/b911c028-5ccb-41aa-bd58-0357539c47fe/content</w:t>
        </w:r>
      </w:hyperlink>
    </w:p>
    <w:p w14:paraId="0D1A7E86" w14:textId="77777777" w:rsidR="00834853" w:rsidRPr="009A7CE2" w:rsidRDefault="00834853" w:rsidP="009A7CE2">
      <w:pPr>
        <w:spacing w:line="276" w:lineRule="auto"/>
      </w:pPr>
    </w:p>
    <w:p w14:paraId="3B0B3C9D" w14:textId="136E64B7" w:rsidR="00841F8C" w:rsidRPr="00645B37" w:rsidRDefault="00841F8C" w:rsidP="008D1534">
      <w:pPr>
        <w:pStyle w:val="ListParagraph"/>
        <w:numPr>
          <w:ilvl w:val="0"/>
          <w:numId w:val="3"/>
        </w:numPr>
        <w:spacing w:line="276" w:lineRule="auto"/>
        <w:rPr>
          <w:rFonts w:ascii="Times New Roman" w:hAnsi="Times New Roman" w:cs="Times New Roman"/>
        </w:rPr>
      </w:pPr>
      <w:r w:rsidRPr="00645B37">
        <w:rPr>
          <w:rFonts w:ascii="Times New Roman" w:hAnsi="Times New Roman" w:cs="Times New Roman"/>
        </w:rPr>
        <w:t xml:space="preserve">Benkerroum, N. 2013. Traditional fermented foods of North African countries: Technology and food safety challenges with regard to microbiological risks. </w:t>
      </w:r>
      <w:r w:rsidRPr="00645B37">
        <w:rPr>
          <w:rFonts w:ascii="Times New Roman" w:hAnsi="Times New Roman" w:cs="Times New Roman"/>
          <w:i/>
          <w:iCs/>
        </w:rPr>
        <w:t>Comprehensive Reviews in Food Science and Food Safety</w:t>
      </w:r>
      <w:r w:rsidRPr="00645B37">
        <w:rPr>
          <w:rFonts w:ascii="Times New Roman" w:hAnsi="Times New Roman" w:cs="Times New Roman"/>
        </w:rPr>
        <w:t xml:space="preserve">, </w:t>
      </w:r>
      <w:r w:rsidRPr="00645B37">
        <w:rPr>
          <w:rFonts w:ascii="Times New Roman" w:hAnsi="Times New Roman" w:cs="Times New Roman"/>
          <w:i/>
          <w:iCs/>
        </w:rPr>
        <w:t>12</w:t>
      </w:r>
      <w:r w:rsidRPr="00645B37">
        <w:rPr>
          <w:rFonts w:ascii="Times New Roman" w:hAnsi="Times New Roman" w:cs="Times New Roman"/>
        </w:rPr>
        <w:t xml:space="preserve">(1), 54–89. </w:t>
      </w:r>
      <w:hyperlink r:id="rId12" w:history="1">
        <w:r w:rsidRPr="00645B37">
          <w:rPr>
            <w:rStyle w:val="Hyperlink"/>
            <w:rFonts w:ascii="Times New Roman" w:eastAsiaTheme="majorEastAsia" w:hAnsi="Times New Roman" w:cs="Times New Roman"/>
          </w:rPr>
          <w:t>https://doi.org/10.1111/j.1541-4337.2012.00215.x</w:t>
        </w:r>
      </w:hyperlink>
    </w:p>
    <w:p w14:paraId="525B1C18" w14:textId="77777777" w:rsidR="008D1534" w:rsidRPr="00645B37" w:rsidRDefault="008D1534" w:rsidP="008D1534">
      <w:pPr>
        <w:pStyle w:val="ListParagraph"/>
        <w:spacing w:line="276" w:lineRule="auto"/>
        <w:rPr>
          <w:rFonts w:ascii="Times New Roman" w:hAnsi="Times New Roman" w:cs="Times New Roman"/>
        </w:rPr>
      </w:pPr>
    </w:p>
    <w:p w14:paraId="6BBB1994" w14:textId="16D477E5" w:rsidR="00841F8C" w:rsidRPr="00645B37" w:rsidRDefault="00841F8C" w:rsidP="008D1534">
      <w:pPr>
        <w:pStyle w:val="ListParagraph"/>
        <w:numPr>
          <w:ilvl w:val="0"/>
          <w:numId w:val="3"/>
        </w:numPr>
        <w:spacing w:line="276" w:lineRule="auto"/>
        <w:rPr>
          <w:rFonts w:ascii="Times New Roman" w:hAnsi="Times New Roman" w:cs="Times New Roman"/>
        </w:rPr>
      </w:pPr>
      <w:r w:rsidRPr="00645B37">
        <w:rPr>
          <w:rFonts w:ascii="Times New Roman" w:hAnsi="Times New Roman" w:cs="Times New Roman"/>
        </w:rPr>
        <w:t xml:space="preserve">Cagri-Mehmetoglu, A. 2018. Food safety challenges associated with traditional foods of Turkey. </w:t>
      </w:r>
      <w:r w:rsidRPr="00645B37">
        <w:rPr>
          <w:rFonts w:ascii="Times New Roman" w:hAnsi="Times New Roman" w:cs="Times New Roman"/>
          <w:i/>
          <w:iCs/>
        </w:rPr>
        <w:t>Food Science and Technology</w:t>
      </w:r>
      <w:r w:rsidRPr="00645B37">
        <w:rPr>
          <w:rFonts w:ascii="Times New Roman" w:hAnsi="Times New Roman" w:cs="Times New Roman"/>
        </w:rPr>
        <w:t xml:space="preserve">, </w:t>
      </w:r>
      <w:r w:rsidRPr="00645B37">
        <w:rPr>
          <w:rFonts w:ascii="Times New Roman" w:hAnsi="Times New Roman" w:cs="Times New Roman"/>
          <w:i/>
          <w:iCs/>
        </w:rPr>
        <w:t>38</w:t>
      </w:r>
      <w:r w:rsidRPr="00645B37">
        <w:rPr>
          <w:rFonts w:ascii="Times New Roman" w:hAnsi="Times New Roman" w:cs="Times New Roman"/>
        </w:rPr>
        <w:t xml:space="preserve">(1), 1–12. </w:t>
      </w:r>
      <w:hyperlink r:id="rId13" w:history="1">
        <w:r w:rsidRPr="00645B37">
          <w:rPr>
            <w:rStyle w:val="Hyperlink"/>
            <w:rFonts w:ascii="Times New Roman" w:eastAsiaTheme="majorEastAsia" w:hAnsi="Times New Roman" w:cs="Times New Roman"/>
          </w:rPr>
          <w:t>https://doi.org/10.1590/1678-457x.36916</w:t>
        </w:r>
      </w:hyperlink>
    </w:p>
    <w:p w14:paraId="6E44E849" w14:textId="77777777" w:rsidR="00841F8C" w:rsidRPr="00645B37" w:rsidRDefault="00841F8C" w:rsidP="008D1534">
      <w:pPr>
        <w:spacing w:line="276" w:lineRule="auto"/>
        <w:jc w:val="both"/>
      </w:pPr>
    </w:p>
    <w:p w14:paraId="117D9795" w14:textId="1D1D0383" w:rsidR="008D1534" w:rsidRPr="00645B37" w:rsidRDefault="008D1534" w:rsidP="008D1534">
      <w:pPr>
        <w:pStyle w:val="ListParagraph"/>
        <w:numPr>
          <w:ilvl w:val="0"/>
          <w:numId w:val="3"/>
        </w:numPr>
        <w:spacing w:line="276" w:lineRule="auto"/>
        <w:rPr>
          <w:rFonts w:ascii="Times New Roman" w:hAnsi="Times New Roman" w:cs="Times New Roman"/>
        </w:rPr>
      </w:pPr>
      <w:r w:rsidRPr="00645B37">
        <w:rPr>
          <w:rFonts w:ascii="Times New Roman" w:hAnsi="Times New Roman" w:cs="Times New Roman"/>
        </w:rPr>
        <w:t xml:space="preserve">Chong, D.K.L. &amp; Stephenson, M. L. 2022. Chapter 8: Deciphering tourism’s auspicious and inauspicious relationships with food and agriculture in Pacific Island States. Identifying problems and solutions. In: </w:t>
      </w:r>
      <w:r w:rsidRPr="00645B37">
        <w:rPr>
          <w:rFonts w:ascii="Times New Roman" w:hAnsi="Times New Roman" w:cs="Times New Roman"/>
          <w:i/>
          <w:iCs/>
        </w:rPr>
        <w:t>Routledge Handbook on Tourism and Small Island States in the Pacific</w:t>
      </w:r>
      <w:r w:rsidRPr="00645B37">
        <w:rPr>
          <w:rFonts w:ascii="Times New Roman" w:hAnsi="Times New Roman" w:cs="Times New Roman"/>
        </w:rPr>
        <w:t xml:space="preserve"> (1st ed.). Routledge. </w:t>
      </w:r>
      <w:hyperlink r:id="rId14" w:history="1">
        <w:r w:rsidRPr="00645B37">
          <w:rPr>
            <w:rStyle w:val="Hyperlink"/>
            <w:rFonts w:ascii="Times New Roman" w:eastAsiaTheme="majorEastAsia" w:hAnsi="Times New Roman" w:cs="Times New Roman"/>
          </w:rPr>
          <w:t>https://doi.org/10.4324/9780429019968</w:t>
        </w:r>
      </w:hyperlink>
    </w:p>
    <w:p w14:paraId="51C787AC" w14:textId="77777777" w:rsidR="00841F8C" w:rsidRPr="00645B37" w:rsidRDefault="00841F8C" w:rsidP="008D1534">
      <w:pPr>
        <w:spacing w:line="276" w:lineRule="auto"/>
        <w:jc w:val="both"/>
      </w:pPr>
    </w:p>
    <w:p w14:paraId="1CAF8E5D" w14:textId="7363B95B" w:rsidR="00841F8C" w:rsidRPr="00645B37" w:rsidRDefault="00841F8C"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rPr>
        <w:t xml:space="preserve">Food and Drug Administration (FDA). 2012. Bad Bug Book, Foodborne pathogenic microorganisms and natural toxins (2nd ed.). </w:t>
      </w:r>
      <w:hyperlink r:id="rId15" w:history="1">
        <w:r w:rsidRPr="00645B37">
          <w:rPr>
            <w:rStyle w:val="Hyperlink"/>
            <w:rFonts w:ascii="Times New Roman" w:hAnsi="Times New Roman" w:cs="Times New Roman"/>
          </w:rPr>
          <w:t>https://www.fda.gov/media/83271/download</w:t>
        </w:r>
      </w:hyperlink>
    </w:p>
    <w:p w14:paraId="2C7BC11C" w14:textId="77777777" w:rsidR="00841F8C" w:rsidRPr="00645B37" w:rsidRDefault="00841F8C" w:rsidP="008D1534">
      <w:pPr>
        <w:spacing w:line="276" w:lineRule="auto"/>
        <w:jc w:val="both"/>
      </w:pPr>
    </w:p>
    <w:p w14:paraId="38E43101" w14:textId="3CED6878" w:rsidR="008D1534" w:rsidRPr="00645B37" w:rsidRDefault="008D1534" w:rsidP="008D1534">
      <w:pPr>
        <w:pStyle w:val="ListParagraph"/>
        <w:numPr>
          <w:ilvl w:val="0"/>
          <w:numId w:val="3"/>
        </w:numPr>
        <w:spacing w:line="276" w:lineRule="auto"/>
        <w:rPr>
          <w:rStyle w:val="Hyperlink"/>
          <w:rFonts w:ascii="Times New Roman" w:hAnsi="Times New Roman" w:cs="Times New Roman"/>
          <w:color w:val="auto"/>
          <w:u w:val="none"/>
        </w:rPr>
      </w:pPr>
      <w:r w:rsidRPr="00645B37">
        <w:rPr>
          <w:rFonts w:ascii="Times New Roman" w:hAnsi="Times New Roman" w:cs="Times New Roman"/>
        </w:rPr>
        <w:t xml:space="preserve">Haden, R. 2009. Food Culture in the Pacific Islands. </w:t>
      </w:r>
      <w:hyperlink r:id="rId16" w:history="1">
        <w:r w:rsidRPr="00645B37">
          <w:rPr>
            <w:rStyle w:val="Hyperlink"/>
            <w:rFonts w:ascii="Times New Roman" w:eastAsiaTheme="majorEastAsia" w:hAnsi="Times New Roman" w:cs="Times New Roman"/>
          </w:rPr>
          <w:t>https://doi.org/10.5040/9798400652523</w:t>
        </w:r>
      </w:hyperlink>
    </w:p>
    <w:p w14:paraId="44DB19A2" w14:textId="77777777" w:rsidR="008D1534" w:rsidRPr="00645B37" w:rsidRDefault="008D1534" w:rsidP="008D1534">
      <w:pPr>
        <w:spacing w:line="276" w:lineRule="auto"/>
      </w:pPr>
    </w:p>
    <w:p w14:paraId="6CD9B18A" w14:textId="54952FA7" w:rsidR="00A0508E" w:rsidRPr="00645B37" w:rsidRDefault="00A0508E" w:rsidP="00A0508E">
      <w:pPr>
        <w:pStyle w:val="ListParagraph"/>
        <w:numPr>
          <w:ilvl w:val="0"/>
          <w:numId w:val="3"/>
        </w:numPr>
        <w:spacing w:line="276" w:lineRule="auto"/>
        <w:rPr>
          <w:rFonts w:ascii="Times New Roman" w:hAnsi="Times New Roman" w:cs="Times New Roman"/>
        </w:rPr>
      </w:pPr>
      <w:r w:rsidRPr="00645B37">
        <w:rPr>
          <w:rFonts w:ascii="Times New Roman" w:hAnsi="Times New Roman" w:cs="Times New Roman"/>
        </w:rPr>
        <w:t xml:space="preserve">Labiste, D. 2013. Imu – Hawaiian underground oven. </w:t>
      </w:r>
      <w:hyperlink r:id="rId17" w:history="1">
        <w:r w:rsidRPr="00645B37">
          <w:rPr>
            <w:rStyle w:val="Hyperlink"/>
            <w:rFonts w:ascii="Times New Roman" w:hAnsi="Times New Roman" w:cs="Times New Roman"/>
          </w:rPr>
          <w:t>http://www.primitiveways.com/Imu1.html</w:t>
        </w:r>
      </w:hyperlink>
    </w:p>
    <w:p w14:paraId="1AF99699" w14:textId="77777777" w:rsidR="00A0508E" w:rsidRPr="00645B37" w:rsidRDefault="00A0508E" w:rsidP="00A0508E"/>
    <w:p w14:paraId="393278D7" w14:textId="0C17CE2D" w:rsidR="00841F8C" w:rsidRPr="00645B37" w:rsidRDefault="00841F8C" w:rsidP="008D1534">
      <w:pPr>
        <w:pStyle w:val="ListParagraph"/>
        <w:numPr>
          <w:ilvl w:val="0"/>
          <w:numId w:val="3"/>
        </w:numPr>
        <w:spacing w:line="276" w:lineRule="auto"/>
        <w:rPr>
          <w:rFonts w:ascii="Times New Roman" w:hAnsi="Times New Roman" w:cs="Times New Roman"/>
        </w:rPr>
      </w:pPr>
      <w:r w:rsidRPr="00645B37">
        <w:rPr>
          <w:rFonts w:ascii="Times New Roman" w:hAnsi="Times New Roman" w:cs="Times New Roman"/>
          <w:lang w:val="fr-CA"/>
        </w:rPr>
        <w:lastRenderedPageBreak/>
        <w:t xml:space="preserve">McNamara, K. E., &amp; Prasad, S. S. 2014. </w:t>
      </w:r>
      <w:r w:rsidRPr="00645B37">
        <w:rPr>
          <w:rFonts w:ascii="Times New Roman" w:hAnsi="Times New Roman" w:cs="Times New Roman"/>
        </w:rPr>
        <w:t xml:space="preserve">Coping with extreme weather: Communities in Fiji and Vanuatu share their experiences and knowledge. </w:t>
      </w:r>
      <w:r w:rsidRPr="00645B37">
        <w:rPr>
          <w:rFonts w:ascii="Times New Roman" w:hAnsi="Times New Roman" w:cs="Times New Roman"/>
          <w:i/>
          <w:iCs/>
        </w:rPr>
        <w:t>Climatic Change</w:t>
      </w:r>
      <w:r w:rsidRPr="00645B37">
        <w:rPr>
          <w:rFonts w:ascii="Times New Roman" w:hAnsi="Times New Roman" w:cs="Times New Roman"/>
        </w:rPr>
        <w:t xml:space="preserve">, </w:t>
      </w:r>
      <w:r w:rsidRPr="00645B37">
        <w:rPr>
          <w:rFonts w:ascii="Times New Roman" w:hAnsi="Times New Roman" w:cs="Times New Roman"/>
          <w:i/>
          <w:iCs/>
        </w:rPr>
        <w:t>123</w:t>
      </w:r>
      <w:r w:rsidRPr="00645B37">
        <w:rPr>
          <w:rFonts w:ascii="Times New Roman" w:hAnsi="Times New Roman" w:cs="Times New Roman"/>
        </w:rPr>
        <w:t xml:space="preserve">(2), 121–132. </w:t>
      </w:r>
      <w:hyperlink r:id="rId18" w:history="1">
        <w:r w:rsidRPr="00645B37">
          <w:rPr>
            <w:rStyle w:val="Hyperlink"/>
            <w:rFonts w:ascii="Times New Roman" w:eastAsiaTheme="majorEastAsia" w:hAnsi="Times New Roman" w:cs="Times New Roman"/>
          </w:rPr>
          <w:t>https://doi.org/10.1007/s10584-013-1047-2</w:t>
        </w:r>
      </w:hyperlink>
    </w:p>
    <w:p w14:paraId="7008808B" w14:textId="77777777" w:rsidR="008D1534" w:rsidRPr="00645B37" w:rsidRDefault="008D1534" w:rsidP="008D1534">
      <w:pPr>
        <w:spacing w:line="276" w:lineRule="auto"/>
      </w:pPr>
    </w:p>
    <w:p w14:paraId="57D2B88B" w14:textId="311139A4" w:rsidR="00834853" w:rsidRDefault="00834853" w:rsidP="00545605">
      <w:pPr>
        <w:pStyle w:val="ListParagraph"/>
        <w:numPr>
          <w:ilvl w:val="0"/>
          <w:numId w:val="3"/>
        </w:numPr>
        <w:spacing w:line="276" w:lineRule="auto"/>
        <w:rPr>
          <w:rFonts w:ascii="Times New Roman" w:hAnsi="Times New Roman" w:cs="Times New Roman"/>
        </w:rPr>
      </w:pPr>
      <w:r w:rsidRPr="00834853">
        <w:rPr>
          <w:rFonts w:ascii="Times New Roman" w:hAnsi="Times New Roman" w:cs="Times New Roman"/>
        </w:rPr>
        <w:t>New Zealand Ministry for Primary Industries</w:t>
      </w:r>
      <w:r>
        <w:rPr>
          <w:rFonts w:ascii="Times New Roman" w:hAnsi="Times New Roman" w:cs="Times New Roman"/>
        </w:rPr>
        <w:t xml:space="preserve">. </w:t>
      </w:r>
      <w:commentRangeStart w:id="4"/>
      <w:r w:rsidRPr="00834853">
        <w:rPr>
          <w:rFonts w:ascii="Times New Roman" w:hAnsi="Times New Roman" w:cs="Times New Roman"/>
        </w:rPr>
        <w:t>201</w:t>
      </w:r>
      <w:r w:rsidR="009A7CE2">
        <w:rPr>
          <w:rFonts w:ascii="Times New Roman" w:hAnsi="Times New Roman" w:cs="Times New Roman"/>
        </w:rPr>
        <w:t>8</w:t>
      </w:r>
      <w:r>
        <w:rPr>
          <w:rFonts w:ascii="Times New Roman" w:hAnsi="Times New Roman" w:cs="Times New Roman"/>
        </w:rPr>
        <w:t xml:space="preserve">. </w:t>
      </w:r>
      <w:commentRangeEnd w:id="4"/>
      <w:r w:rsidR="0029056A">
        <w:rPr>
          <w:rStyle w:val="CommentReference"/>
          <w:rFonts w:ascii="Times New Roman" w:hAnsi="Times New Roman" w:cs="Times New Roman"/>
          <w:sz w:val="24"/>
          <w:szCs w:val="24"/>
        </w:rPr>
        <w:commentReference w:id="4"/>
      </w:r>
      <w:r>
        <w:rPr>
          <w:rFonts w:ascii="Times New Roman" w:hAnsi="Times New Roman" w:cs="Times New Roman"/>
        </w:rPr>
        <w:t xml:space="preserve">UMU Pasifika – Food safety for Pacific peoples. </w:t>
      </w:r>
      <w:hyperlink r:id="rId19" w:history="1">
        <w:r w:rsidR="0029056A" w:rsidRPr="00B15C18">
          <w:rPr>
            <w:rStyle w:val="Hyperlink"/>
            <w:rFonts w:ascii="Times New Roman" w:hAnsi="Times New Roman" w:cs="Times New Roman"/>
          </w:rPr>
          <w:t>https://www.mpi.govt.nz/dmsdocument/1192/direct</w:t>
        </w:r>
      </w:hyperlink>
    </w:p>
    <w:p w14:paraId="08540B93" w14:textId="77777777" w:rsidR="00834853" w:rsidRPr="0029056A" w:rsidRDefault="00834853" w:rsidP="0029056A"/>
    <w:p w14:paraId="52D2813F" w14:textId="43143494" w:rsidR="00545605" w:rsidRDefault="00545605" w:rsidP="00545605">
      <w:pPr>
        <w:pStyle w:val="ListParagraph"/>
        <w:numPr>
          <w:ilvl w:val="0"/>
          <w:numId w:val="3"/>
        </w:numPr>
        <w:spacing w:line="276" w:lineRule="auto"/>
        <w:rPr>
          <w:rFonts w:ascii="Times New Roman" w:hAnsi="Times New Roman" w:cs="Times New Roman"/>
        </w:rPr>
      </w:pPr>
      <w:r>
        <w:rPr>
          <w:rFonts w:ascii="Times New Roman" w:hAnsi="Times New Roman" w:cs="Times New Roman"/>
        </w:rPr>
        <w:t xml:space="preserve">Richardson, R. 2025. Three feet under: hangi and the contemporary adaptation of indigenous culinary techniques. </w:t>
      </w:r>
      <w:r>
        <w:rPr>
          <w:rFonts w:ascii="Times New Roman" w:hAnsi="Times New Roman" w:cs="Times New Roman"/>
          <w:i/>
          <w:iCs/>
        </w:rPr>
        <w:t>Food, Culture &amp; Society, 28</w:t>
      </w:r>
      <w:r>
        <w:rPr>
          <w:rFonts w:ascii="Times New Roman" w:hAnsi="Times New Roman" w:cs="Times New Roman"/>
        </w:rPr>
        <w:t xml:space="preserve">(3), 780-796. </w:t>
      </w:r>
      <w:hyperlink r:id="rId20" w:history="1">
        <w:r w:rsidRPr="00B15C18">
          <w:rPr>
            <w:rStyle w:val="Hyperlink"/>
            <w:rFonts w:ascii="Times New Roman" w:hAnsi="Times New Roman" w:cs="Times New Roman"/>
          </w:rPr>
          <w:t>https://doi.org/10.1080/15528014.2024.2381305</w:t>
        </w:r>
      </w:hyperlink>
    </w:p>
    <w:p w14:paraId="150C7ADE" w14:textId="77777777" w:rsidR="00545605" w:rsidRPr="00545605" w:rsidRDefault="00545605" w:rsidP="00545605">
      <w:pPr>
        <w:pStyle w:val="ListParagraph"/>
        <w:rPr>
          <w:rFonts w:ascii="Times New Roman" w:hAnsi="Times New Roman" w:cs="Times New Roman"/>
        </w:rPr>
      </w:pPr>
    </w:p>
    <w:p w14:paraId="3FEF533E" w14:textId="467A5BA5" w:rsidR="008D1534" w:rsidRPr="00545605" w:rsidRDefault="008D1534" w:rsidP="00545605">
      <w:pPr>
        <w:pStyle w:val="ListParagraph"/>
        <w:numPr>
          <w:ilvl w:val="0"/>
          <w:numId w:val="3"/>
        </w:numPr>
        <w:spacing w:line="276" w:lineRule="auto"/>
        <w:rPr>
          <w:rFonts w:ascii="Times New Roman" w:hAnsi="Times New Roman" w:cs="Times New Roman"/>
        </w:rPr>
      </w:pPr>
      <w:r w:rsidRPr="00545605">
        <w:rPr>
          <w:rFonts w:ascii="Times New Roman" w:hAnsi="Times New Roman" w:cs="Times New Roman"/>
        </w:rPr>
        <w:t xml:space="preserve">Sellars, D., &amp; Heggie, S. 2005. A study of temperatures achieved during underground cooking of pork. Environmental Health, 5(2), 48-54. </w:t>
      </w:r>
      <w:hyperlink r:id="rId21" w:history="1">
        <w:r w:rsidRPr="00545605">
          <w:rPr>
            <w:rStyle w:val="Hyperlink"/>
            <w:rFonts w:ascii="Times New Roman" w:hAnsi="Times New Roman" w:cs="Times New Roman"/>
          </w:rPr>
          <w:t>https://search.informit.org/doi/abs/10.3316/INFORMIT.204179506260521</w:t>
        </w:r>
      </w:hyperlink>
    </w:p>
    <w:p w14:paraId="781070C2" w14:textId="77777777" w:rsidR="00841F8C" w:rsidRPr="00645B37" w:rsidRDefault="00841F8C" w:rsidP="008D1534">
      <w:pPr>
        <w:spacing w:line="276" w:lineRule="auto"/>
        <w:jc w:val="both"/>
      </w:pPr>
    </w:p>
    <w:p w14:paraId="1AA30A94" w14:textId="50703585" w:rsidR="00841F8C" w:rsidRPr="00645B37" w:rsidRDefault="00841F8C" w:rsidP="008D1534">
      <w:pPr>
        <w:pStyle w:val="ListParagraph"/>
        <w:numPr>
          <w:ilvl w:val="0"/>
          <w:numId w:val="3"/>
        </w:numPr>
        <w:spacing w:line="276" w:lineRule="auto"/>
        <w:rPr>
          <w:rFonts w:ascii="Times New Roman" w:hAnsi="Times New Roman" w:cs="Times New Roman"/>
        </w:rPr>
      </w:pPr>
      <w:r w:rsidRPr="00645B37">
        <w:rPr>
          <w:rFonts w:ascii="Times New Roman" w:hAnsi="Times New Roman" w:cs="Times New Roman"/>
        </w:rPr>
        <w:t xml:space="preserve">Shah, S., Moroca, A., &amp; Bhat, J. A. (2018). Neo-traditional approaches for ensuring food security in Fiji Islands. </w:t>
      </w:r>
      <w:r w:rsidRPr="00645B37">
        <w:rPr>
          <w:rFonts w:ascii="Times New Roman" w:hAnsi="Times New Roman" w:cs="Times New Roman"/>
          <w:i/>
          <w:iCs/>
        </w:rPr>
        <w:t>Environmental Development</w:t>
      </w:r>
      <w:r w:rsidRPr="00645B37">
        <w:rPr>
          <w:rFonts w:ascii="Times New Roman" w:hAnsi="Times New Roman" w:cs="Times New Roman"/>
        </w:rPr>
        <w:t xml:space="preserve">, </w:t>
      </w:r>
      <w:r w:rsidRPr="00645B37">
        <w:rPr>
          <w:rFonts w:ascii="Times New Roman" w:hAnsi="Times New Roman" w:cs="Times New Roman"/>
          <w:i/>
          <w:iCs/>
        </w:rPr>
        <w:t>28</w:t>
      </w:r>
      <w:r w:rsidRPr="00645B37">
        <w:rPr>
          <w:rFonts w:ascii="Times New Roman" w:hAnsi="Times New Roman" w:cs="Times New Roman"/>
        </w:rPr>
        <w:t xml:space="preserve">, 83–100. </w:t>
      </w:r>
      <w:hyperlink r:id="rId22" w:history="1">
        <w:r w:rsidRPr="00645B37">
          <w:rPr>
            <w:rFonts w:ascii="Times New Roman" w:eastAsia="Times New Roman" w:hAnsi="Times New Roman" w:cs="Times New Roman"/>
            <w:color w:val="0000FF"/>
            <w:u w:val="single"/>
          </w:rPr>
          <w:t>https://doi.org/10.1016/j.envdev.2018.11.001</w:t>
        </w:r>
      </w:hyperlink>
    </w:p>
    <w:p w14:paraId="394B9A1A" w14:textId="77777777" w:rsidR="00841F8C" w:rsidRPr="00645B37" w:rsidRDefault="00841F8C" w:rsidP="008D1534">
      <w:pPr>
        <w:spacing w:line="276" w:lineRule="auto"/>
        <w:jc w:val="both"/>
      </w:pPr>
    </w:p>
    <w:p w14:paraId="1BEAF63E" w14:textId="3039F727" w:rsidR="003608B8" w:rsidRPr="003608B8" w:rsidRDefault="003608B8" w:rsidP="003608B8">
      <w:pPr>
        <w:pStyle w:val="ListParagraph"/>
        <w:numPr>
          <w:ilvl w:val="0"/>
          <w:numId w:val="3"/>
        </w:numPr>
        <w:spacing w:line="276" w:lineRule="auto"/>
        <w:jc w:val="both"/>
        <w:rPr>
          <w:rFonts w:ascii="Times New Roman" w:hAnsi="Times New Roman" w:cs="Times New Roman"/>
          <w:i/>
          <w:iCs/>
          <w:lang w:val="en-US"/>
        </w:rPr>
      </w:pPr>
      <w:r w:rsidRPr="003608B8">
        <w:rPr>
          <w:rFonts w:ascii="Times New Roman" w:hAnsi="Times New Roman" w:cs="Times New Roman"/>
        </w:rPr>
        <w:t xml:space="preserve">Sopade, P.A. 2000. </w:t>
      </w:r>
      <w:r w:rsidRPr="003608B8">
        <w:rPr>
          <w:rFonts w:ascii="Times New Roman" w:hAnsi="Times New Roman" w:cs="Times New Roman"/>
          <w:lang w:val="en-US"/>
        </w:rPr>
        <w:t>The fate of cyanogens during the cooking of cassava in mumu, a traditional oven in Papua New Guinea</w:t>
      </w:r>
      <w:r>
        <w:rPr>
          <w:rFonts w:ascii="Times New Roman" w:hAnsi="Times New Roman" w:cs="Times New Roman"/>
          <w:lang w:val="en-US"/>
        </w:rPr>
        <w:t xml:space="preserve">. </w:t>
      </w:r>
      <w:r w:rsidRPr="003608B8">
        <w:rPr>
          <w:rFonts w:ascii="Times New Roman" w:hAnsi="Times New Roman" w:cs="Times New Roman"/>
          <w:i/>
          <w:iCs/>
          <w:lang w:val="en-US"/>
        </w:rPr>
        <w:t>International Journal of Food Science and Technology</w:t>
      </w:r>
      <w:r>
        <w:rPr>
          <w:rFonts w:ascii="Times New Roman" w:hAnsi="Times New Roman" w:cs="Times New Roman"/>
          <w:i/>
          <w:iCs/>
          <w:lang w:val="en-US"/>
        </w:rPr>
        <w:t>, 35,</w:t>
      </w:r>
      <w:r>
        <w:rPr>
          <w:rFonts w:ascii="Times New Roman" w:hAnsi="Times New Roman" w:cs="Times New Roman"/>
          <w:lang w:val="en-US"/>
        </w:rPr>
        <w:t xml:space="preserve"> 173-182.</w:t>
      </w:r>
    </w:p>
    <w:p w14:paraId="2B8257B0" w14:textId="77777777" w:rsidR="003608B8" w:rsidRPr="003608B8" w:rsidRDefault="003608B8" w:rsidP="003608B8">
      <w:pPr>
        <w:pStyle w:val="ListParagraph"/>
        <w:rPr>
          <w:rFonts w:ascii="Times New Roman" w:hAnsi="Times New Roman" w:cs="Times New Roman"/>
          <w:i/>
          <w:iCs/>
          <w:lang w:val="en-US"/>
        </w:rPr>
      </w:pPr>
    </w:p>
    <w:p w14:paraId="266FD670" w14:textId="3D9C951E" w:rsidR="003608B8" w:rsidRDefault="003608B8" w:rsidP="003608B8">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lang w:val="en-US"/>
        </w:rPr>
        <w:t xml:space="preserve">Sopade, P.A. 2013. </w:t>
      </w:r>
      <w:r w:rsidRPr="003608B8">
        <w:rPr>
          <w:rFonts w:ascii="Times New Roman" w:hAnsi="Times New Roman" w:cs="Times New Roman"/>
        </w:rPr>
        <w:t xml:space="preserve">Mumu - A </w:t>
      </w:r>
      <w:r>
        <w:rPr>
          <w:rFonts w:ascii="Times New Roman" w:hAnsi="Times New Roman" w:cs="Times New Roman"/>
        </w:rPr>
        <w:t>t</w:t>
      </w:r>
      <w:r w:rsidRPr="003608B8">
        <w:rPr>
          <w:rFonts w:ascii="Times New Roman" w:hAnsi="Times New Roman" w:cs="Times New Roman"/>
        </w:rPr>
        <w:t xml:space="preserve">raditional </w:t>
      </w:r>
      <w:r>
        <w:rPr>
          <w:rFonts w:ascii="Times New Roman" w:hAnsi="Times New Roman" w:cs="Times New Roman"/>
        </w:rPr>
        <w:t>m</w:t>
      </w:r>
      <w:r w:rsidRPr="003608B8">
        <w:rPr>
          <w:rFonts w:ascii="Times New Roman" w:hAnsi="Times New Roman" w:cs="Times New Roman"/>
        </w:rPr>
        <w:t xml:space="preserve">ethod of </w:t>
      </w:r>
      <w:r>
        <w:rPr>
          <w:rFonts w:ascii="Times New Roman" w:hAnsi="Times New Roman" w:cs="Times New Roman"/>
        </w:rPr>
        <w:t>c</w:t>
      </w:r>
      <w:r w:rsidRPr="003608B8">
        <w:rPr>
          <w:rFonts w:ascii="Times New Roman" w:hAnsi="Times New Roman" w:cs="Times New Roman"/>
        </w:rPr>
        <w:t xml:space="preserve">ooking </w:t>
      </w:r>
      <w:r>
        <w:rPr>
          <w:rFonts w:ascii="Times New Roman" w:hAnsi="Times New Roman" w:cs="Times New Roman"/>
        </w:rPr>
        <w:t>f</w:t>
      </w:r>
      <w:r w:rsidRPr="003608B8">
        <w:rPr>
          <w:rFonts w:ascii="Times New Roman" w:hAnsi="Times New Roman" w:cs="Times New Roman"/>
        </w:rPr>
        <w:t>oods in Papua New Guinea</w:t>
      </w:r>
      <w:r>
        <w:rPr>
          <w:rFonts w:ascii="Times New Roman" w:hAnsi="Times New Roman" w:cs="Times New Roman"/>
        </w:rPr>
        <w:t xml:space="preserve">. Practical Action technical brief. </w:t>
      </w:r>
      <w:hyperlink r:id="rId23" w:history="1">
        <w:r w:rsidRPr="00B15C18">
          <w:rPr>
            <w:rStyle w:val="Hyperlink"/>
            <w:rFonts w:ascii="Times New Roman" w:hAnsi="Times New Roman" w:cs="Times New Roman"/>
          </w:rPr>
          <w:t>https://infohub.practicalaction.org/items/c4c3bb7a-2703-4a63-9214-3246fd4d970f</w:t>
        </w:r>
      </w:hyperlink>
    </w:p>
    <w:p w14:paraId="1FF57268" w14:textId="77777777" w:rsidR="003608B8" w:rsidRPr="003608B8" w:rsidRDefault="003608B8" w:rsidP="003608B8">
      <w:pPr>
        <w:spacing w:line="276" w:lineRule="auto"/>
        <w:jc w:val="both"/>
      </w:pPr>
    </w:p>
    <w:p w14:paraId="58B66DA4" w14:textId="2593387E" w:rsidR="00841F8C" w:rsidRPr="00645B37" w:rsidRDefault="00841F8C" w:rsidP="008D1534">
      <w:pPr>
        <w:pStyle w:val="ListParagraph"/>
        <w:numPr>
          <w:ilvl w:val="0"/>
          <w:numId w:val="3"/>
        </w:numPr>
        <w:spacing w:line="276" w:lineRule="auto"/>
        <w:jc w:val="both"/>
        <w:rPr>
          <w:rFonts w:ascii="Times New Roman" w:hAnsi="Times New Roman" w:cs="Times New Roman"/>
        </w:rPr>
      </w:pPr>
      <w:r w:rsidRPr="00645B37">
        <w:rPr>
          <w:rFonts w:ascii="Times New Roman" w:hAnsi="Times New Roman" w:cs="Times New Roman"/>
          <w:lang w:val="fr-CA"/>
        </w:rPr>
        <w:t xml:space="preserve">Van der Meulen, B., Juanjuan, S., Carvajal, R., Kite, J., &amp; Costa Dias, T. 2016. </w:t>
      </w:r>
      <w:r w:rsidRPr="00645B37">
        <w:rPr>
          <w:rFonts w:ascii="Times New Roman" w:hAnsi="Times New Roman" w:cs="Times New Roman"/>
        </w:rPr>
        <w:t xml:space="preserve">Chapter 23: Food safety regulations applied to traditional and ethnic foods. In: Regulating safety of traditional and ethnic foods. Academic Press. </w:t>
      </w:r>
      <w:hyperlink r:id="rId24" w:history="1">
        <w:r w:rsidRPr="00645B37">
          <w:rPr>
            <w:rStyle w:val="Hyperlink"/>
            <w:rFonts w:ascii="Times New Roman" w:hAnsi="Times New Roman" w:cs="Times New Roman"/>
          </w:rPr>
          <w:t>https://doi.org/10.1016/B978-0-12-800605-4.00023-2</w:t>
        </w:r>
      </w:hyperlink>
    </w:p>
    <w:p w14:paraId="64BA6438" w14:textId="77777777" w:rsidR="00841F8C" w:rsidRPr="00645B37" w:rsidRDefault="00841F8C" w:rsidP="008D1534">
      <w:pPr>
        <w:spacing w:line="276" w:lineRule="auto"/>
        <w:jc w:val="both"/>
      </w:pPr>
    </w:p>
    <w:p w14:paraId="151E165C" w14:textId="77777777" w:rsidR="00841F8C" w:rsidRDefault="00841F8C" w:rsidP="008D1534">
      <w:pPr>
        <w:spacing w:line="276" w:lineRule="auto"/>
        <w:jc w:val="both"/>
      </w:pPr>
    </w:p>
    <w:p w14:paraId="5D542AA8" w14:textId="6288BE82" w:rsidR="008F33C8" w:rsidRPr="00645B37" w:rsidRDefault="008F33C8" w:rsidP="008D1534">
      <w:pPr>
        <w:spacing w:line="276" w:lineRule="auto"/>
        <w:jc w:val="both"/>
      </w:pPr>
    </w:p>
    <w:sectPr w:rsidR="008F33C8" w:rsidRPr="00645B37">
      <w:footerReference w:type="even" r:id="rId25"/>
      <w:footerReference w:type="default" r:id="rId2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lvia Dominguez" w:date="2026-03-01T18:34:00Z" w:initials="SD">
    <w:p w14:paraId="33082AAF" w14:textId="77777777" w:rsidR="00760CCC" w:rsidRDefault="00760CCC" w:rsidP="00760CCC">
      <w:r>
        <w:rPr>
          <w:rStyle w:val="CommentReference"/>
        </w:rPr>
        <w:annotationRef/>
      </w:r>
      <w:r>
        <w:rPr>
          <w:rFonts w:asciiTheme="minorHAnsi" w:eastAsiaTheme="minorHAnsi" w:hAnsiTheme="minorHAnsi" w:cstheme="minorBidi"/>
          <w:kern w:val="2"/>
          <w:sz w:val="20"/>
          <w:szCs w:val="20"/>
          <w14:ligatures w14:val="standardContextual"/>
        </w:rPr>
        <w:t>Added more examples</w:t>
      </w:r>
    </w:p>
  </w:comment>
  <w:comment w:id="1" w:author="Silvia Dominguez" w:date="2026-03-01T18:45:00Z" w:initials="SD">
    <w:p w14:paraId="0F163F72" w14:textId="77777777" w:rsidR="00AB5E20" w:rsidRDefault="001D2BA5" w:rsidP="00AB5E20">
      <w:r>
        <w:rPr>
          <w:rStyle w:val="CommentReference"/>
        </w:rPr>
        <w:annotationRef/>
      </w:r>
      <w:r w:rsidR="00AB5E20">
        <w:rPr>
          <w:rFonts w:asciiTheme="minorHAnsi" w:eastAsiaTheme="minorHAnsi" w:hAnsiTheme="minorHAnsi" w:cstheme="minorBidi"/>
          <w:kern w:val="2"/>
          <w:sz w:val="20"/>
          <w:szCs w:val="20"/>
          <w14:ligatures w14:val="standardContextual"/>
        </w:rPr>
        <w:t>I modified this here and in other parts of the text. Before I mentioned it was mainly steaming, but finally, looks like the amount or even the use of plant materials varies, so the reliance on steam also varies.</w:t>
      </w:r>
    </w:p>
  </w:comment>
  <w:comment w:id="2" w:author="Silvia Dominguez" w:date="2026-03-01T20:11:00Z" w:initials="SD">
    <w:p w14:paraId="7F2FE613" w14:textId="7153D725" w:rsidR="003D7112" w:rsidRDefault="003D7112" w:rsidP="003D7112">
      <w:r>
        <w:rPr>
          <w:rStyle w:val="CommentReference"/>
        </w:rPr>
        <w:annotationRef/>
      </w:r>
      <w:r>
        <w:rPr>
          <w:rFonts w:asciiTheme="minorHAnsi" w:eastAsiaTheme="minorHAnsi" w:hAnsiTheme="minorHAnsi" w:cstheme="minorBidi"/>
          <w:kern w:val="2"/>
          <w:sz w:val="20"/>
          <w:szCs w:val="20"/>
          <w14:ligatures w14:val="standardContextual"/>
        </w:rPr>
        <w:t>The only thing I added</w:t>
      </w:r>
    </w:p>
  </w:comment>
  <w:comment w:id="3" w:author="Silvia Dominguez" w:date="2026-03-01T19:58:00Z" w:initials="SD">
    <w:p w14:paraId="7F99573D" w14:textId="635B575E" w:rsidR="003608B8" w:rsidRDefault="003608B8" w:rsidP="003608B8">
      <w:r>
        <w:rPr>
          <w:rStyle w:val="CommentReference"/>
        </w:rPr>
        <w:annotationRef/>
      </w:r>
      <w:r>
        <w:rPr>
          <w:rFonts w:asciiTheme="minorHAnsi" w:eastAsiaTheme="minorHAnsi" w:hAnsiTheme="minorHAnsi" w:cstheme="minorBidi"/>
          <w:kern w:val="2"/>
          <w:sz w:val="20"/>
          <w:szCs w:val="20"/>
          <w14:ligatures w14:val="standardContextual"/>
        </w:rPr>
        <w:t>Added 5 new references</w:t>
      </w:r>
    </w:p>
  </w:comment>
  <w:comment w:id="4" w:author="Silvia Dominguez" w:date="2026-03-01T20:08:00Z" w:initials="SD">
    <w:p w14:paraId="483F7E6D" w14:textId="77777777" w:rsidR="0029056A" w:rsidRDefault="0029056A" w:rsidP="0029056A">
      <w:r>
        <w:rPr>
          <w:rStyle w:val="CommentReference"/>
        </w:rPr>
        <w:annotationRef/>
      </w:r>
      <w:r>
        <w:rPr>
          <w:rFonts w:asciiTheme="minorHAnsi" w:eastAsiaTheme="minorHAnsi" w:hAnsiTheme="minorHAnsi" w:cstheme="minorBidi"/>
          <w:kern w:val="2"/>
          <w:sz w:val="20"/>
          <w:szCs w:val="20"/>
          <w14:ligatures w14:val="standardContextual"/>
        </w:rPr>
        <w:t>SWP colleagues had sent a version from 2014 but there is one from 2018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082AAF" w15:done="0"/>
  <w15:commentEx w15:paraId="0F163F72" w15:done="0"/>
  <w15:commentEx w15:paraId="7F2FE613" w15:done="0"/>
  <w15:commentEx w15:paraId="7F99573D" w15:done="0"/>
  <w15:commentEx w15:paraId="483F7E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12C4F" w16cex:dateUtc="2026-03-01T23:34:00Z"/>
  <w16cex:commentExtensible w16cex:durableId="26303AC5" w16cex:dateUtc="2026-03-01T23:45:00Z"/>
  <w16cex:commentExtensible w16cex:durableId="546CCC03" w16cex:dateUtc="2026-03-02T01:11:00Z"/>
  <w16cex:commentExtensible w16cex:durableId="377FBE50" w16cex:dateUtc="2026-03-02T00:58:00Z"/>
  <w16cex:commentExtensible w16cex:durableId="4C63CD90" w16cex:dateUtc="2026-03-02T0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082AAF" w16cid:durableId="3E312C4F"/>
  <w16cid:commentId w16cid:paraId="0F163F72" w16cid:durableId="26303AC5"/>
  <w16cid:commentId w16cid:paraId="7F2FE613" w16cid:durableId="546CCC03"/>
  <w16cid:commentId w16cid:paraId="7F99573D" w16cid:durableId="377FBE50"/>
  <w16cid:commentId w16cid:paraId="483F7E6D" w16cid:durableId="4C63CD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EA30" w14:textId="77777777" w:rsidR="001A21AB" w:rsidRDefault="001A21AB" w:rsidP="00732EA8">
      <w:r>
        <w:separator/>
      </w:r>
    </w:p>
  </w:endnote>
  <w:endnote w:type="continuationSeparator" w:id="0">
    <w:p w14:paraId="0DAD6FA6" w14:textId="77777777" w:rsidR="001A21AB" w:rsidRDefault="001A21AB" w:rsidP="0073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952384"/>
      <w:docPartObj>
        <w:docPartGallery w:val="Page Numbers (Bottom of Page)"/>
        <w:docPartUnique/>
      </w:docPartObj>
    </w:sdtPr>
    <w:sdtContent>
      <w:p w14:paraId="13AA967A" w14:textId="5DF9EF23" w:rsidR="00732EA8" w:rsidRDefault="00732E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654F67" w14:textId="77777777" w:rsidR="00732EA8" w:rsidRDefault="00732EA8" w:rsidP="00732E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9340363"/>
      <w:docPartObj>
        <w:docPartGallery w:val="Page Numbers (Bottom of Page)"/>
        <w:docPartUnique/>
      </w:docPartObj>
    </w:sdtPr>
    <w:sdtContent>
      <w:p w14:paraId="48243F46" w14:textId="7E257903" w:rsidR="00732EA8" w:rsidRDefault="00732E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6CE1F91" w14:textId="77777777" w:rsidR="00732EA8" w:rsidRDefault="00732EA8" w:rsidP="00732E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3160" w14:textId="77777777" w:rsidR="001A21AB" w:rsidRDefault="001A21AB" w:rsidP="00732EA8">
      <w:r>
        <w:separator/>
      </w:r>
    </w:p>
  </w:footnote>
  <w:footnote w:type="continuationSeparator" w:id="0">
    <w:p w14:paraId="5851009F" w14:textId="77777777" w:rsidR="001A21AB" w:rsidRDefault="001A21AB" w:rsidP="0073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5D6"/>
    <w:multiLevelType w:val="hybridMultilevel"/>
    <w:tmpl w:val="9DCADAB4"/>
    <w:lvl w:ilvl="0" w:tplc="04090009">
      <w:start w:val="1"/>
      <w:numFmt w:val="bullet"/>
      <w:lvlText w:val=""/>
      <w:lvlJc w:val="left"/>
      <w:pPr>
        <w:ind w:left="720" w:hanging="360"/>
      </w:pPr>
      <w:rPr>
        <w:rFonts w:ascii="Wingdings" w:hAnsi="Wingdings" w:hint="default"/>
      </w:rPr>
    </w:lvl>
    <w:lvl w:ilvl="1" w:tplc="E4AACBB2">
      <w:start w:val="1"/>
      <w:numFmt w:val="bullet"/>
      <w:lvlText w:val="§"/>
      <w:lvlJc w:val="left"/>
      <w:pPr>
        <w:tabs>
          <w:tab w:val="num" w:pos="1440"/>
        </w:tabs>
        <w:ind w:left="1440" w:hanging="360"/>
      </w:pPr>
      <w:rPr>
        <w:rFonts w:ascii="Wingdings" w:hAnsi="Wingdings" w:hint="default"/>
      </w:rPr>
    </w:lvl>
    <w:lvl w:ilvl="2" w:tplc="E8E8C78A" w:tentative="1">
      <w:start w:val="1"/>
      <w:numFmt w:val="bullet"/>
      <w:lvlText w:val="§"/>
      <w:lvlJc w:val="left"/>
      <w:pPr>
        <w:tabs>
          <w:tab w:val="num" w:pos="2160"/>
        </w:tabs>
        <w:ind w:left="2160" w:hanging="360"/>
      </w:pPr>
      <w:rPr>
        <w:rFonts w:ascii="Wingdings" w:hAnsi="Wingdings" w:hint="default"/>
      </w:rPr>
    </w:lvl>
    <w:lvl w:ilvl="3" w:tplc="9EC6C3E2" w:tentative="1">
      <w:start w:val="1"/>
      <w:numFmt w:val="bullet"/>
      <w:lvlText w:val="§"/>
      <w:lvlJc w:val="left"/>
      <w:pPr>
        <w:tabs>
          <w:tab w:val="num" w:pos="2880"/>
        </w:tabs>
        <w:ind w:left="2880" w:hanging="360"/>
      </w:pPr>
      <w:rPr>
        <w:rFonts w:ascii="Wingdings" w:hAnsi="Wingdings" w:hint="default"/>
      </w:rPr>
    </w:lvl>
    <w:lvl w:ilvl="4" w:tplc="4E48BA62" w:tentative="1">
      <w:start w:val="1"/>
      <w:numFmt w:val="bullet"/>
      <w:lvlText w:val="§"/>
      <w:lvlJc w:val="left"/>
      <w:pPr>
        <w:tabs>
          <w:tab w:val="num" w:pos="3600"/>
        </w:tabs>
        <w:ind w:left="3600" w:hanging="360"/>
      </w:pPr>
      <w:rPr>
        <w:rFonts w:ascii="Wingdings" w:hAnsi="Wingdings" w:hint="default"/>
      </w:rPr>
    </w:lvl>
    <w:lvl w:ilvl="5" w:tplc="EDAC86FA" w:tentative="1">
      <w:start w:val="1"/>
      <w:numFmt w:val="bullet"/>
      <w:lvlText w:val="§"/>
      <w:lvlJc w:val="left"/>
      <w:pPr>
        <w:tabs>
          <w:tab w:val="num" w:pos="4320"/>
        </w:tabs>
        <w:ind w:left="4320" w:hanging="360"/>
      </w:pPr>
      <w:rPr>
        <w:rFonts w:ascii="Wingdings" w:hAnsi="Wingdings" w:hint="default"/>
      </w:rPr>
    </w:lvl>
    <w:lvl w:ilvl="6" w:tplc="83CA7044" w:tentative="1">
      <w:start w:val="1"/>
      <w:numFmt w:val="bullet"/>
      <w:lvlText w:val="§"/>
      <w:lvlJc w:val="left"/>
      <w:pPr>
        <w:tabs>
          <w:tab w:val="num" w:pos="5040"/>
        </w:tabs>
        <w:ind w:left="5040" w:hanging="360"/>
      </w:pPr>
      <w:rPr>
        <w:rFonts w:ascii="Wingdings" w:hAnsi="Wingdings" w:hint="default"/>
      </w:rPr>
    </w:lvl>
    <w:lvl w:ilvl="7" w:tplc="42A8B5A0" w:tentative="1">
      <w:start w:val="1"/>
      <w:numFmt w:val="bullet"/>
      <w:lvlText w:val="§"/>
      <w:lvlJc w:val="left"/>
      <w:pPr>
        <w:tabs>
          <w:tab w:val="num" w:pos="5760"/>
        </w:tabs>
        <w:ind w:left="5760" w:hanging="360"/>
      </w:pPr>
      <w:rPr>
        <w:rFonts w:ascii="Wingdings" w:hAnsi="Wingdings" w:hint="default"/>
      </w:rPr>
    </w:lvl>
    <w:lvl w:ilvl="8" w:tplc="466AAA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21973"/>
    <w:multiLevelType w:val="hybridMultilevel"/>
    <w:tmpl w:val="65781474"/>
    <w:lvl w:ilvl="0" w:tplc="C61A8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B33EB"/>
    <w:multiLevelType w:val="hybridMultilevel"/>
    <w:tmpl w:val="7A823A38"/>
    <w:lvl w:ilvl="0" w:tplc="6CEC06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C536B"/>
    <w:multiLevelType w:val="hybridMultilevel"/>
    <w:tmpl w:val="F964F664"/>
    <w:lvl w:ilvl="0" w:tplc="491C2F9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E6EF7"/>
    <w:multiLevelType w:val="hybridMultilevel"/>
    <w:tmpl w:val="7A823A3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924608"/>
    <w:multiLevelType w:val="hybridMultilevel"/>
    <w:tmpl w:val="8E86180C"/>
    <w:lvl w:ilvl="0" w:tplc="09CC1F92">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149C4"/>
    <w:multiLevelType w:val="hybridMultilevel"/>
    <w:tmpl w:val="CDEA0060"/>
    <w:lvl w:ilvl="0" w:tplc="80AE3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16095"/>
    <w:multiLevelType w:val="hybridMultilevel"/>
    <w:tmpl w:val="2F74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794A1D"/>
    <w:multiLevelType w:val="hybridMultilevel"/>
    <w:tmpl w:val="70585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018250">
    <w:abstractNumId w:val="5"/>
  </w:num>
  <w:num w:numId="2" w16cid:durableId="450635943">
    <w:abstractNumId w:val="6"/>
  </w:num>
  <w:num w:numId="3" w16cid:durableId="750853609">
    <w:abstractNumId w:val="3"/>
  </w:num>
  <w:num w:numId="4" w16cid:durableId="1275789993">
    <w:abstractNumId w:val="8"/>
  </w:num>
  <w:num w:numId="5" w16cid:durableId="2044746835">
    <w:abstractNumId w:val="7"/>
  </w:num>
  <w:num w:numId="6" w16cid:durableId="2030568044">
    <w:abstractNumId w:val="0"/>
  </w:num>
  <w:num w:numId="7" w16cid:durableId="1878228487">
    <w:abstractNumId w:val="2"/>
  </w:num>
  <w:num w:numId="8" w16cid:durableId="1264069142">
    <w:abstractNumId w:val="4"/>
  </w:num>
  <w:num w:numId="9" w16cid:durableId="18317512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a Dominguez">
    <w15:presenceInfo w15:providerId="AD" w15:userId="S::SIDOM12@ulaval.ca::4b4b336c-91c8-4dc2-b470-5f691c5657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06"/>
    <w:rsid w:val="00003734"/>
    <w:rsid w:val="00013807"/>
    <w:rsid w:val="00045802"/>
    <w:rsid w:val="00050858"/>
    <w:rsid w:val="0005512E"/>
    <w:rsid w:val="000562DB"/>
    <w:rsid w:val="00072A2C"/>
    <w:rsid w:val="00073D50"/>
    <w:rsid w:val="000A7EED"/>
    <w:rsid w:val="000B7DF8"/>
    <w:rsid w:val="000C32A7"/>
    <w:rsid w:val="000C53A4"/>
    <w:rsid w:val="000C7F84"/>
    <w:rsid w:val="000F3C80"/>
    <w:rsid w:val="001101AA"/>
    <w:rsid w:val="00121B16"/>
    <w:rsid w:val="001248BB"/>
    <w:rsid w:val="0013650C"/>
    <w:rsid w:val="00140144"/>
    <w:rsid w:val="00152C78"/>
    <w:rsid w:val="00155A50"/>
    <w:rsid w:val="00173F74"/>
    <w:rsid w:val="00177357"/>
    <w:rsid w:val="00196D30"/>
    <w:rsid w:val="001A21AB"/>
    <w:rsid w:val="001B5CE8"/>
    <w:rsid w:val="001C1A3F"/>
    <w:rsid w:val="001D2BA5"/>
    <w:rsid w:val="001E17B1"/>
    <w:rsid w:val="001E4806"/>
    <w:rsid w:val="001F7E53"/>
    <w:rsid w:val="00223C1A"/>
    <w:rsid w:val="00246666"/>
    <w:rsid w:val="00274D0C"/>
    <w:rsid w:val="00281591"/>
    <w:rsid w:val="0029056A"/>
    <w:rsid w:val="00293C0B"/>
    <w:rsid w:val="002E17D3"/>
    <w:rsid w:val="002E450D"/>
    <w:rsid w:val="00304DDC"/>
    <w:rsid w:val="00306D27"/>
    <w:rsid w:val="00317099"/>
    <w:rsid w:val="00342AA1"/>
    <w:rsid w:val="003455BD"/>
    <w:rsid w:val="003542B7"/>
    <w:rsid w:val="00355A8B"/>
    <w:rsid w:val="003608B8"/>
    <w:rsid w:val="00365A8E"/>
    <w:rsid w:val="00370FA9"/>
    <w:rsid w:val="00386E1E"/>
    <w:rsid w:val="00387AA0"/>
    <w:rsid w:val="003D7112"/>
    <w:rsid w:val="003E1A72"/>
    <w:rsid w:val="003E73E7"/>
    <w:rsid w:val="003F12E0"/>
    <w:rsid w:val="003F6B7E"/>
    <w:rsid w:val="00403EEF"/>
    <w:rsid w:val="0041014B"/>
    <w:rsid w:val="00411CC2"/>
    <w:rsid w:val="0044494B"/>
    <w:rsid w:val="00450B06"/>
    <w:rsid w:val="004653EA"/>
    <w:rsid w:val="004665F0"/>
    <w:rsid w:val="004730B2"/>
    <w:rsid w:val="0048182A"/>
    <w:rsid w:val="004929C0"/>
    <w:rsid w:val="004A1F74"/>
    <w:rsid w:val="004B0B6B"/>
    <w:rsid w:val="004B2648"/>
    <w:rsid w:val="004B2D26"/>
    <w:rsid w:val="004B6959"/>
    <w:rsid w:val="004D1CF1"/>
    <w:rsid w:val="004E6B81"/>
    <w:rsid w:val="004F3816"/>
    <w:rsid w:val="005073EE"/>
    <w:rsid w:val="00511E06"/>
    <w:rsid w:val="005219B3"/>
    <w:rsid w:val="00522B80"/>
    <w:rsid w:val="00523A70"/>
    <w:rsid w:val="00530030"/>
    <w:rsid w:val="00545605"/>
    <w:rsid w:val="005465E9"/>
    <w:rsid w:val="00546AF5"/>
    <w:rsid w:val="00572AAA"/>
    <w:rsid w:val="00583698"/>
    <w:rsid w:val="005B2F09"/>
    <w:rsid w:val="005C0887"/>
    <w:rsid w:val="00645B37"/>
    <w:rsid w:val="006966BC"/>
    <w:rsid w:val="006D68B8"/>
    <w:rsid w:val="006E506D"/>
    <w:rsid w:val="007046E2"/>
    <w:rsid w:val="00732EA8"/>
    <w:rsid w:val="00760CCC"/>
    <w:rsid w:val="00770959"/>
    <w:rsid w:val="0077363D"/>
    <w:rsid w:val="007847D1"/>
    <w:rsid w:val="00791B66"/>
    <w:rsid w:val="00795139"/>
    <w:rsid w:val="007A3758"/>
    <w:rsid w:val="007A5E24"/>
    <w:rsid w:val="007D306E"/>
    <w:rsid w:val="007D5A7A"/>
    <w:rsid w:val="007F0733"/>
    <w:rsid w:val="007F565E"/>
    <w:rsid w:val="008230C0"/>
    <w:rsid w:val="00830EEF"/>
    <w:rsid w:val="00834853"/>
    <w:rsid w:val="00841F8C"/>
    <w:rsid w:val="00861132"/>
    <w:rsid w:val="008635B0"/>
    <w:rsid w:val="00863E05"/>
    <w:rsid w:val="00873B23"/>
    <w:rsid w:val="008869C2"/>
    <w:rsid w:val="008973C6"/>
    <w:rsid w:val="008C60BA"/>
    <w:rsid w:val="008D1534"/>
    <w:rsid w:val="008D3870"/>
    <w:rsid w:val="008D5F5A"/>
    <w:rsid w:val="008E41DD"/>
    <w:rsid w:val="008F2A54"/>
    <w:rsid w:val="008F33C8"/>
    <w:rsid w:val="00912C20"/>
    <w:rsid w:val="00987A35"/>
    <w:rsid w:val="009908BD"/>
    <w:rsid w:val="00992F58"/>
    <w:rsid w:val="0099653F"/>
    <w:rsid w:val="00997A7F"/>
    <w:rsid w:val="009A7CE2"/>
    <w:rsid w:val="00A03137"/>
    <w:rsid w:val="00A03CDF"/>
    <w:rsid w:val="00A0508E"/>
    <w:rsid w:val="00A0567B"/>
    <w:rsid w:val="00A94D9B"/>
    <w:rsid w:val="00AA22EA"/>
    <w:rsid w:val="00AA3C9F"/>
    <w:rsid w:val="00AA3F76"/>
    <w:rsid w:val="00AB1EC3"/>
    <w:rsid w:val="00AB47C9"/>
    <w:rsid w:val="00AB5E20"/>
    <w:rsid w:val="00AC3145"/>
    <w:rsid w:val="00B30B45"/>
    <w:rsid w:val="00B369C7"/>
    <w:rsid w:val="00B65351"/>
    <w:rsid w:val="00B655C7"/>
    <w:rsid w:val="00B9218A"/>
    <w:rsid w:val="00BA4FE4"/>
    <w:rsid w:val="00BA7C63"/>
    <w:rsid w:val="00BB4578"/>
    <w:rsid w:val="00BC5E04"/>
    <w:rsid w:val="00BF4D5B"/>
    <w:rsid w:val="00C013D4"/>
    <w:rsid w:val="00C04847"/>
    <w:rsid w:val="00C05314"/>
    <w:rsid w:val="00C164DB"/>
    <w:rsid w:val="00C17D69"/>
    <w:rsid w:val="00C60028"/>
    <w:rsid w:val="00C60619"/>
    <w:rsid w:val="00C75242"/>
    <w:rsid w:val="00C81B16"/>
    <w:rsid w:val="00C9351A"/>
    <w:rsid w:val="00CA3503"/>
    <w:rsid w:val="00CB54B2"/>
    <w:rsid w:val="00CE5F47"/>
    <w:rsid w:val="00D0091F"/>
    <w:rsid w:val="00D07710"/>
    <w:rsid w:val="00D07B5C"/>
    <w:rsid w:val="00D3440A"/>
    <w:rsid w:val="00D64E0E"/>
    <w:rsid w:val="00D7601F"/>
    <w:rsid w:val="00DC235C"/>
    <w:rsid w:val="00E119BF"/>
    <w:rsid w:val="00E129AB"/>
    <w:rsid w:val="00E14345"/>
    <w:rsid w:val="00E25E06"/>
    <w:rsid w:val="00E6103C"/>
    <w:rsid w:val="00E63385"/>
    <w:rsid w:val="00E65648"/>
    <w:rsid w:val="00E765AD"/>
    <w:rsid w:val="00E83CC0"/>
    <w:rsid w:val="00E903EE"/>
    <w:rsid w:val="00EB3153"/>
    <w:rsid w:val="00EB7F4A"/>
    <w:rsid w:val="00ED1DE1"/>
    <w:rsid w:val="00EE5644"/>
    <w:rsid w:val="00EE79E1"/>
    <w:rsid w:val="00EF27EE"/>
    <w:rsid w:val="00EF51BC"/>
    <w:rsid w:val="00EF71D6"/>
    <w:rsid w:val="00F27026"/>
    <w:rsid w:val="00F43883"/>
    <w:rsid w:val="00F75FDB"/>
    <w:rsid w:val="00F9063E"/>
    <w:rsid w:val="00F96C78"/>
    <w:rsid w:val="00FB2899"/>
    <w:rsid w:val="00FB769B"/>
    <w:rsid w:val="00FF621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BE72"/>
  <w15:chartTrackingRefBased/>
  <w15:docId w15:val="{0CDB0311-E3B4-474C-AFF7-927A8EF0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8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50B0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0B0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0B0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0B0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0B0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0B0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0B0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0B0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0B0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B06"/>
    <w:rPr>
      <w:rFonts w:eastAsiaTheme="majorEastAsia" w:cstheme="majorBidi"/>
      <w:color w:val="272727" w:themeColor="text1" w:themeTint="D8"/>
    </w:rPr>
  </w:style>
  <w:style w:type="paragraph" w:styleId="Title">
    <w:name w:val="Title"/>
    <w:basedOn w:val="Normal"/>
    <w:next w:val="Normal"/>
    <w:link w:val="TitleChar"/>
    <w:uiPriority w:val="10"/>
    <w:qFormat/>
    <w:rsid w:val="00450B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B0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B0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50B06"/>
    <w:rPr>
      <w:i/>
      <w:iCs/>
      <w:color w:val="404040" w:themeColor="text1" w:themeTint="BF"/>
    </w:rPr>
  </w:style>
  <w:style w:type="paragraph" w:styleId="ListParagraph">
    <w:name w:val="List Paragraph"/>
    <w:basedOn w:val="Normal"/>
    <w:uiPriority w:val="34"/>
    <w:qFormat/>
    <w:rsid w:val="00450B0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50B06"/>
    <w:rPr>
      <w:i/>
      <w:iCs/>
      <w:color w:val="0F4761" w:themeColor="accent1" w:themeShade="BF"/>
    </w:rPr>
  </w:style>
  <w:style w:type="paragraph" w:styleId="IntenseQuote">
    <w:name w:val="Intense Quote"/>
    <w:basedOn w:val="Normal"/>
    <w:next w:val="Normal"/>
    <w:link w:val="IntenseQuoteChar"/>
    <w:uiPriority w:val="30"/>
    <w:qFormat/>
    <w:rsid w:val="00450B0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50B06"/>
    <w:rPr>
      <w:i/>
      <w:iCs/>
      <w:color w:val="0F4761" w:themeColor="accent1" w:themeShade="BF"/>
    </w:rPr>
  </w:style>
  <w:style w:type="character" w:styleId="IntenseReference">
    <w:name w:val="Intense Reference"/>
    <w:basedOn w:val="DefaultParagraphFont"/>
    <w:uiPriority w:val="32"/>
    <w:qFormat/>
    <w:rsid w:val="00450B06"/>
    <w:rPr>
      <w:b/>
      <w:bCs/>
      <w:smallCaps/>
      <w:color w:val="0F4761" w:themeColor="accent1" w:themeShade="BF"/>
      <w:spacing w:val="5"/>
    </w:rPr>
  </w:style>
  <w:style w:type="table" w:styleId="TableGrid">
    <w:name w:val="Table Grid"/>
    <w:basedOn w:val="TableNormal"/>
    <w:uiPriority w:val="39"/>
    <w:rsid w:val="00AB1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EA8"/>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732EA8"/>
  </w:style>
  <w:style w:type="paragraph" w:styleId="Footer">
    <w:name w:val="footer"/>
    <w:basedOn w:val="Normal"/>
    <w:link w:val="FooterChar"/>
    <w:uiPriority w:val="99"/>
    <w:unhideWhenUsed/>
    <w:rsid w:val="00732EA8"/>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732EA8"/>
  </w:style>
  <w:style w:type="character" w:styleId="PageNumber">
    <w:name w:val="page number"/>
    <w:basedOn w:val="DefaultParagraphFont"/>
    <w:uiPriority w:val="99"/>
    <w:semiHidden/>
    <w:unhideWhenUsed/>
    <w:rsid w:val="00732EA8"/>
  </w:style>
  <w:style w:type="character" w:styleId="CommentReference">
    <w:name w:val="annotation reference"/>
    <w:basedOn w:val="DefaultParagraphFont"/>
    <w:uiPriority w:val="99"/>
    <w:semiHidden/>
    <w:unhideWhenUsed/>
    <w:rsid w:val="00732EA8"/>
    <w:rPr>
      <w:sz w:val="16"/>
      <w:szCs w:val="16"/>
    </w:rPr>
  </w:style>
  <w:style w:type="paragraph" w:styleId="CommentText">
    <w:name w:val="annotation text"/>
    <w:basedOn w:val="Normal"/>
    <w:link w:val="CommentTextChar"/>
    <w:uiPriority w:val="99"/>
    <w:semiHidden/>
    <w:unhideWhenUsed/>
    <w:rsid w:val="00732EA8"/>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732EA8"/>
    <w:rPr>
      <w:sz w:val="20"/>
      <w:szCs w:val="20"/>
    </w:rPr>
  </w:style>
  <w:style w:type="paragraph" w:styleId="CommentSubject">
    <w:name w:val="annotation subject"/>
    <w:basedOn w:val="CommentText"/>
    <w:next w:val="CommentText"/>
    <w:link w:val="CommentSubjectChar"/>
    <w:uiPriority w:val="99"/>
    <w:semiHidden/>
    <w:unhideWhenUsed/>
    <w:rsid w:val="00732EA8"/>
    <w:rPr>
      <w:b/>
      <w:bCs/>
    </w:rPr>
  </w:style>
  <w:style w:type="character" w:customStyle="1" w:styleId="CommentSubjectChar">
    <w:name w:val="Comment Subject Char"/>
    <w:basedOn w:val="CommentTextChar"/>
    <w:link w:val="CommentSubject"/>
    <w:uiPriority w:val="99"/>
    <w:semiHidden/>
    <w:rsid w:val="00732EA8"/>
    <w:rPr>
      <w:b/>
      <w:bCs/>
      <w:sz w:val="20"/>
      <w:szCs w:val="20"/>
    </w:rPr>
  </w:style>
  <w:style w:type="character" w:styleId="Hyperlink">
    <w:name w:val="Hyperlink"/>
    <w:basedOn w:val="DefaultParagraphFont"/>
    <w:uiPriority w:val="99"/>
    <w:unhideWhenUsed/>
    <w:rsid w:val="00841F8C"/>
    <w:rPr>
      <w:color w:val="467886" w:themeColor="hyperlink"/>
      <w:u w:val="single"/>
    </w:rPr>
  </w:style>
  <w:style w:type="character" w:styleId="UnresolvedMention">
    <w:name w:val="Unresolved Mention"/>
    <w:basedOn w:val="DefaultParagraphFont"/>
    <w:uiPriority w:val="99"/>
    <w:semiHidden/>
    <w:unhideWhenUsed/>
    <w:rsid w:val="00841F8C"/>
    <w:rPr>
      <w:color w:val="605E5C"/>
      <w:shd w:val="clear" w:color="auto" w:fill="E1DFDD"/>
    </w:rPr>
  </w:style>
  <w:style w:type="character" w:styleId="FollowedHyperlink">
    <w:name w:val="FollowedHyperlink"/>
    <w:basedOn w:val="DefaultParagraphFont"/>
    <w:uiPriority w:val="99"/>
    <w:semiHidden/>
    <w:unhideWhenUsed/>
    <w:rsid w:val="00841F8C"/>
    <w:rPr>
      <w:color w:val="96607D" w:themeColor="followedHyperlink"/>
      <w:u w:val="single"/>
    </w:rPr>
  </w:style>
  <w:style w:type="character" w:styleId="FootnoteReference">
    <w:name w:val="footnote reference"/>
    <w:uiPriority w:val="99"/>
    <w:semiHidden/>
    <w:rsid w:val="00EF51BC"/>
    <w:rPr>
      <w:vertAlign w:val="superscript"/>
    </w:rPr>
  </w:style>
  <w:style w:type="paragraph" w:customStyle="1" w:styleId="Corps">
    <w:name w:val="Corps"/>
    <w:rsid w:val="00EF51BC"/>
    <w:pPr>
      <w:pBdr>
        <w:top w:val="nil"/>
        <w:left w:val="nil"/>
        <w:bottom w:val="nil"/>
        <w:right w:val="nil"/>
        <w:between w:val="nil"/>
        <w:bar w:val="nil"/>
      </w:pBdr>
    </w:pPr>
    <w:rPr>
      <w:rFonts w:ascii="Cambria" w:eastAsia="Cambria" w:hAnsi="Cambria" w:cs="Cambria"/>
      <w:color w:val="000000"/>
      <w:kern w:val="0"/>
      <w:u w:color="000000"/>
      <w:bdr w:val="nil"/>
      <w:lang w:val="de-DE" w:eastAsia="fr-FR"/>
      <w14:ligatures w14:val="none"/>
    </w:rPr>
  </w:style>
  <w:style w:type="paragraph" w:styleId="Revision">
    <w:name w:val="Revision"/>
    <w:hidden/>
    <w:uiPriority w:val="99"/>
    <w:semiHidden/>
    <w:rsid w:val="001248B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14964">
      <w:bodyDiv w:val="1"/>
      <w:marLeft w:val="0"/>
      <w:marRight w:val="0"/>
      <w:marTop w:val="0"/>
      <w:marBottom w:val="0"/>
      <w:divBdr>
        <w:top w:val="none" w:sz="0" w:space="0" w:color="auto"/>
        <w:left w:val="none" w:sz="0" w:space="0" w:color="auto"/>
        <w:bottom w:val="none" w:sz="0" w:space="0" w:color="auto"/>
        <w:right w:val="none" w:sz="0" w:space="0" w:color="auto"/>
      </w:divBdr>
      <w:divsChild>
        <w:div w:id="317927438">
          <w:marLeft w:val="480"/>
          <w:marRight w:val="0"/>
          <w:marTop w:val="0"/>
          <w:marBottom w:val="0"/>
          <w:divBdr>
            <w:top w:val="none" w:sz="0" w:space="0" w:color="auto"/>
            <w:left w:val="none" w:sz="0" w:space="0" w:color="auto"/>
            <w:bottom w:val="none" w:sz="0" w:space="0" w:color="auto"/>
            <w:right w:val="none" w:sz="0" w:space="0" w:color="auto"/>
          </w:divBdr>
          <w:divsChild>
            <w:div w:id="1713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8195">
      <w:bodyDiv w:val="1"/>
      <w:marLeft w:val="0"/>
      <w:marRight w:val="0"/>
      <w:marTop w:val="0"/>
      <w:marBottom w:val="0"/>
      <w:divBdr>
        <w:top w:val="none" w:sz="0" w:space="0" w:color="auto"/>
        <w:left w:val="none" w:sz="0" w:space="0" w:color="auto"/>
        <w:bottom w:val="none" w:sz="0" w:space="0" w:color="auto"/>
        <w:right w:val="none" w:sz="0" w:space="0" w:color="auto"/>
      </w:divBdr>
      <w:divsChild>
        <w:div w:id="125978360">
          <w:marLeft w:val="480"/>
          <w:marRight w:val="0"/>
          <w:marTop w:val="0"/>
          <w:marBottom w:val="0"/>
          <w:divBdr>
            <w:top w:val="none" w:sz="0" w:space="0" w:color="auto"/>
            <w:left w:val="none" w:sz="0" w:space="0" w:color="auto"/>
            <w:bottom w:val="none" w:sz="0" w:space="0" w:color="auto"/>
            <w:right w:val="none" w:sz="0" w:space="0" w:color="auto"/>
          </w:divBdr>
          <w:divsChild>
            <w:div w:id="1647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7527">
      <w:bodyDiv w:val="1"/>
      <w:marLeft w:val="0"/>
      <w:marRight w:val="0"/>
      <w:marTop w:val="0"/>
      <w:marBottom w:val="0"/>
      <w:divBdr>
        <w:top w:val="none" w:sz="0" w:space="0" w:color="auto"/>
        <w:left w:val="none" w:sz="0" w:space="0" w:color="auto"/>
        <w:bottom w:val="none" w:sz="0" w:space="0" w:color="auto"/>
        <w:right w:val="none" w:sz="0" w:space="0" w:color="auto"/>
      </w:divBdr>
      <w:divsChild>
        <w:div w:id="1563057630">
          <w:marLeft w:val="480"/>
          <w:marRight w:val="0"/>
          <w:marTop w:val="0"/>
          <w:marBottom w:val="0"/>
          <w:divBdr>
            <w:top w:val="none" w:sz="0" w:space="0" w:color="auto"/>
            <w:left w:val="none" w:sz="0" w:space="0" w:color="auto"/>
            <w:bottom w:val="none" w:sz="0" w:space="0" w:color="auto"/>
            <w:right w:val="none" w:sz="0" w:space="0" w:color="auto"/>
          </w:divBdr>
          <w:divsChild>
            <w:div w:id="4940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1054">
      <w:bodyDiv w:val="1"/>
      <w:marLeft w:val="0"/>
      <w:marRight w:val="0"/>
      <w:marTop w:val="0"/>
      <w:marBottom w:val="0"/>
      <w:divBdr>
        <w:top w:val="none" w:sz="0" w:space="0" w:color="auto"/>
        <w:left w:val="none" w:sz="0" w:space="0" w:color="auto"/>
        <w:bottom w:val="none" w:sz="0" w:space="0" w:color="auto"/>
        <w:right w:val="none" w:sz="0" w:space="0" w:color="auto"/>
      </w:divBdr>
      <w:divsChild>
        <w:div w:id="565839824">
          <w:marLeft w:val="480"/>
          <w:marRight w:val="0"/>
          <w:marTop w:val="0"/>
          <w:marBottom w:val="0"/>
          <w:divBdr>
            <w:top w:val="none" w:sz="0" w:space="0" w:color="auto"/>
            <w:left w:val="none" w:sz="0" w:space="0" w:color="auto"/>
            <w:bottom w:val="none" w:sz="0" w:space="0" w:color="auto"/>
            <w:right w:val="none" w:sz="0" w:space="0" w:color="auto"/>
          </w:divBdr>
          <w:divsChild>
            <w:div w:id="2040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6224">
      <w:bodyDiv w:val="1"/>
      <w:marLeft w:val="0"/>
      <w:marRight w:val="0"/>
      <w:marTop w:val="0"/>
      <w:marBottom w:val="0"/>
      <w:divBdr>
        <w:top w:val="none" w:sz="0" w:space="0" w:color="auto"/>
        <w:left w:val="none" w:sz="0" w:space="0" w:color="auto"/>
        <w:bottom w:val="none" w:sz="0" w:space="0" w:color="auto"/>
        <w:right w:val="none" w:sz="0" w:space="0" w:color="auto"/>
      </w:divBdr>
      <w:divsChild>
        <w:div w:id="959069480">
          <w:marLeft w:val="480"/>
          <w:marRight w:val="0"/>
          <w:marTop w:val="0"/>
          <w:marBottom w:val="0"/>
          <w:divBdr>
            <w:top w:val="none" w:sz="0" w:space="0" w:color="auto"/>
            <w:left w:val="none" w:sz="0" w:space="0" w:color="auto"/>
            <w:bottom w:val="none" w:sz="0" w:space="0" w:color="auto"/>
            <w:right w:val="none" w:sz="0" w:space="0" w:color="auto"/>
          </w:divBdr>
          <w:divsChild>
            <w:div w:id="11724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33358">
      <w:bodyDiv w:val="1"/>
      <w:marLeft w:val="0"/>
      <w:marRight w:val="0"/>
      <w:marTop w:val="0"/>
      <w:marBottom w:val="0"/>
      <w:divBdr>
        <w:top w:val="none" w:sz="0" w:space="0" w:color="auto"/>
        <w:left w:val="none" w:sz="0" w:space="0" w:color="auto"/>
        <w:bottom w:val="none" w:sz="0" w:space="0" w:color="auto"/>
        <w:right w:val="none" w:sz="0" w:space="0" w:color="auto"/>
      </w:divBdr>
      <w:divsChild>
        <w:div w:id="1200051169">
          <w:marLeft w:val="480"/>
          <w:marRight w:val="0"/>
          <w:marTop w:val="0"/>
          <w:marBottom w:val="0"/>
          <w:divBdr>
            <w:top w:val="none" w:sz="0" w:space="0" w:color="auto"/>
            <w:left w:val="none" w:sz="0" w:space="0" w:color="auto"/>
            <w:bottom w:val="none" w:sz="0" w:space="0" w:color="auto"/>
            <w:right w:val="none" w:sz="0" w:space="0" w:color="auto"/>
          </w:divBdr>
          <w:divsChild>
            <w:div w:id="3647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590/1678-457x.36916" TargetMode="External"/><Relationship Id="rId18" Type="http://schemas.openxmlformats.org/officeDocument/2006/relationships/hyperlink" Target="https://doi.org/10.1007/s10584-013-1047-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search.informit.org/doi/abs/10.3316/INFORMIT.204179506260521" TargetMode="External"/><Relationship Id="rId7" Type="http://schemas.openxmlformats.org/officeDocument/2006/relationships/comments" Target="comments.xml"/><Relationship Id="rId12" Type="http://schemas.openxmlformats.org/officeDocument/2006/relationships/hyperlink" Target="https://doi.org/10.1111/j.1541-4337.2012.00215.x" TargetMode="External"/><Relationship Id="rId17" Type="http://schemas.openxmlformats.org/officeDocument/2006/relationships/hyperlink" Target="http://www.primitiveways.com/Imu1.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040/9798400652523" TargetMode="External"/><Relationship Id="rId20" Type="http://schemas.openxmlformats.org/officeDocument/2006/relationships/hyperlink" Target="https://doi.org/10.1080/15528014.2024.238130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space.manoa.hawaii.edu/server/api/core/bitstreams/b911c028-5ccb-41aa-bd58-0357539c47fe/content" TargetMode="External"/><Relationship Id="rId24" Type="http://schemas.openxmlformats.org/officeDocument/2006/relationships/hyperlink" Target="https://doi.org/10.1016/B978-0-12-800605-4.00023-2" TargetMode="External"/><Relationship Id="rId5" Type="http://schemas.openxmlformats.org/officeDocument/2006/relationships/footnotes" Target="footnotes.xml"/><Relationship Id="rId15" Type="http://schemas.openxmlformats.org/officeDocument/2006/relationships/hyperlink" Target="https://www.fda.gov/media/83271/download" TargetMode="External"/><Relationship Id="rId23" Type="http://schemas.openxmlformats.org/officeDocument/2006/relationships/hyperlink" Target="https://infohub.practicalaction.org/items/c4c3bb7a-2703-4a63-9214-3246fd4d970f" TargetMode="Externa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www.mpi.govt.nz/dmsdocument/1192/direc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4324/9780429019968" TargetMode="External"/><Relationship Id="rId22" Type="http://schemas.openxmlformats.org/officeDocument/2006/relationships/hyperlink" Target="https://doi.org/10.1016/j.envdev.2018.11.00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9</Pages>
  <Words>3609</Words>
  <Characters>19960</Characters>
  <Application>Microsoft Office Word</Application>
  <DocSecurity>0</DocSecurity>
  <Lines>407</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Dominguez</dc:creator>
  <cp:keywords/>
  <dc:description/>
  <cp:lastModifiedBy>Samuel Godefroy</cp:lastModifiedBy>
  <cp:revision>60</cp:revision>
  <cp:lastPrinted>2025-01-09T23:06:00Z</cp:lastPrinted>
  <dcterms:created xsi:type="dcterms:W3CDTF">2025-01-20T04:09:00Z</dcterms:created>
  <dcterms:modified xsi:type="dcterms:W3CDTF">2026-03-18T00:25:00Z</dcterms:modified>
</cp:coreProperties>
</file>