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BE1" w14:textId="1CB878C3" w:rsidR="00D346D3" w:rsidRDefault="007002CF" w:rsidP="007002CF">
      <w:pPr>
        <w:spacing w:before="0"/>
        <w:rPr>
          <w:color w:val="2A4B7E"/>
          <w:sz w:val="28"/>
          <w:szCs w:val="28"/>
        </w:rPr>
      </w:pPr>
      <w:r w:rsidRPr="008962A1">
        <w:rPr>
          <w:noProof/>
          <w:color w:val="2A4B7E"/>
          <w:sz w:val="28"/>
          <w:szCs w:val="28"/>
        </w:rPr>
        <w:drawing>
          <wp:inline distT="0" distB="0" distL="0" distR="0" wp14:anchorId="6BFD9373" wp14:editId="1EDD734D">
            <wp:extent cx="6858000" cy="1743075"/>
            <wp:effectExtent l="0" t="0" r="0" b="9525"/>
            <wp:docPr id="51" name="Picture 50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E298C96-E5D7-4248-8271-D92618C111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>
                      <a:hlinkClick r:id="rId8"/>
                      <a:extLst>
                        <a:ext uri="{FF2B5EF4-FFF2-40B4-BE49-F238E27FC236}">
                          <a16:creationId xmlns:a16="http://schemas.microsoft.com/office/drawing/2014/main" id="{3E298C96-E5D7-4248-8271-D92618C111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58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DA706" w14:textId="4B3536D4" w:rsidR="00573894" w:rsidRPr="00CC3F2F" w:rsidRDefault="005155AA" w:rsidP="005155AA">
      <w:pPr>
        <w:jc w:val="center"/>
        <w:rPr>
          <w:b/>
          <w:bCs/>
          <w:color w:val="365F91" w:themeColor="accent1" w:themeShade="BF"/>
          <w:sz w:val="36"/>
          <w:szCs w:val="36"/>
        </w:rPr>
      </w:pPr>
      <w:r w:rsidRPr="005155AA">
        <w:rPr>
          <w:b/>
          <w:bCs/>
          <w:color w:val="365F91" w:themeColor="accent1" w:themeShade="BF"/>
          <w:sz w:val="36"/>
          <w:szCs w:val="36"/>
        </w:rPr>
        <w:t>QUESTIONNAIRE FOR GUIDED DISCUSSION</w:t>
      </w:r>
      <w:r w:rsidR="007002CF">
        <w:rPr>
          <w:b/>
          <w:bCs/>
          <w:color w:val="365F91" w:themeColor="accent1" w:themeShade="BF"/>
          <w:sz w:val="36"/>
          <w:szCs w:val="36"/>
        </w:rPr>
        <w:t xml:space="preserve"> • 20 AUGUST 2025</w:t>
      </w:r>
    </w:p>
    <w:p w14:paraId="726E7CA6" w14:textId="77777777" w:rsidR="005155AA" w:rsidRPr="005155AA" w:rsidRDefault="005155AA" w:rsidP="00BA5A2A">
      <w:pPr>
        <w:spacing w:after="240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5155AA">
        <w:rPr>
          <w:b/>
          <w:bCs/>
          <w:color w:val="365F91" w:themeColor="accent1" w:themeShade="BF"/>
          <w:sz w:val="28"/>
          <w:szCs w:val="28"/>
        </w:rPr>
        <w:t>Towards Structured Stakeholder Engagement in Codex Matters – CCASIA Context</w:t>
      </w:r>
    </w:p>
    <w:p w14:paraId="2CDD4593" w14:textId="422FAA3F" w:rsidR="009B6AA7" w:rsidRDefault="009B6AA7" w:rsidP="00BA5A2A">
      <w:pPr>
        <w:pStyle w:val="Heading2"/>
        <w:numPr>
          <w:ilvl w:val="0"/>
          <w:numId w:val="0"/>
        </w:numPr>
        <w:shd w:val="clear" w:color="auto" w:fill="DBE5F1" w:themeFill="accent1" w:themeFillTint="33"/>
        <w:spacing w:before="120"/>
        <w:ind w:left="360" w:hanging="360"/>
      </w:pPr>
      <w:r>
        <w:t xml:space="preserve">Section 1: </w:t>
      </w:r>
      <w:r w:rsidR="005155AA">
        <w:t>Current Practices and Gaps</w:t>
      </w:r>
    </w:p>
    <w:p w14:paraId="7A6E8DA6" w14:textId="17230DF5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>
        <w:t>How are stakeholders (industry, academia, consumer groups, etc.) currently engaged in your country’s Codex-related processes?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116279CB" w14:textId="77777777" w:rsidTr="00BA5A2A">
        <w:sdt>
          <w:sdtPr>
            <w:rPr>
              <w:rStyle w:val="BodyTextChar"/>
            </w:rPr>
            <w:id w:val="1711382343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38257E13" w14:textId="62BD98B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ECA937" w14:textId="72B232F4" w:rsidR="005155AA" w:rsidRDefault="005155AA" w:rsidP="00BA5A2A">
      <w:pPr>
        <w:pStyle w:val="ListParagraph"/>
        <w:numPr>
          <w:ilvl w:val="0"/>
          <w:numId w:val="36"/>
        </w:numPr>
        <w:ind w:left="720"/>
        <w:contextualSpacing w:val="0"/>
      </w:pPr>
      <w:r>
        <w:t>A</w:t>
      </w:r>
      <w:r>
        <w:t>re there structured multi-stakeholder mechanisms for consultation?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2816D40F" w14:textId="77777777" w:rsidTr="00BA5A2A">
        <w:sdt>
          <w:sdtPr>
            <w:rPr>
              <w:rStyle w:val="BodyTextChar"/>
            </w:rPr>
            <w:id w:val="-26176877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2F068486" w14:textId="34D002E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AD7442" w14:textId="45F0E70D" w:rsidR="005155AA" w:rsidRDefault="005155AA" w:rsidP="00BA5A2A">
      <w:pPr>
        <w:pStyle w:val="ListParagraph"/>
        <w:numPr>
          <w:ilvl w:val="0"/>
          <w:numId w:val="36"/>
        </w:numPr>
        <w:ind w:left="720"/>
        <w:contextualSpacing w:val="0"/>
      </w:pPr>
      <w:r>
        <w:t>What works well, and where do challenges remain?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31EB77E9" w14:textId="77777777" w:rsidTr="00BA5A2A">
        <w:sdt>
          <w:sdtPr>
            <w:rPr>
              <w:rStyle w:val="BodyTextChar"/>
            </w:rPr>
            <w:id w:val="345680844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39209471" w14:textId="0703A64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51EA49" w14:textId="2B0C6070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>
        <w:t>Are there established national multi-stakeholder platforms for food standards and Codex matters?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3704743C" w14:textId="77777777" w:rsidTr="00BA5A2A">
        <w:sdt>
          <w:sdtPr>
            <w:rPr>
              <w:rStyle w:val="BodyTextChar"/>
            </w:rPr>
            <w:id w:val="78169325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5B5A6C95" w14:textId="478DFDC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D3CA46" w14:textId="62DD2586" w:rsidR="005155AA" w:rsidRDefault="005155AA" w:rsidP="00BA5A2A">
      <w:pPr>
        <w:pStyle w:val="ListParagraph"/>
        <w:numPr>
          <w:ilvl w:val="0"/>
          <w:numId w:val="37"/>
        </w:numPr>
        <w:contextualSpacing w:val="0"/>
      </w:pPr>
      <w:r>
        <w:t>If yes, how effective are they in influencing national Codex positions?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0519B89F" w14:textId="77777777" w:rsidTr="00BA5A2A">
        <w:sdt>
          <w:sdtPr>
            <w:rPr>
              <w:rStyle w:val="BodyTextChar"/>
            </w:rPr>
            <w:id w:val="-1919396914"/>
            <w:placeholder>
              <w:docPart w:val="D63D8149DDFE4BBC872384B8ED3D3CBE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2A471C69" w14:textId="25ABBC2E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5772B0" w14:textId="5AA0BA5A" w:rsidR="005155AA" w:rsidRDefault="005155AA" w:rsidP="00BA5A2A">
      <w:pPr>
        <w:pStyle w:val="ListParagraph"/>
        <w:numPr>
          <w:ilvl w:val="0"/>
          <w:numId w:val="37"/>
        </w:numPr>
        <w:contextualSpacing w:val="0"/>
      </w:pPr>
      <w:r>
        <w:t>If not, what barriers prevent their establishment?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1357ED2C" w14:textId="77777777" w:rsidTr="00BA5A2A">
        <w:sdt>
          <w:sdtPr>
            <w:rPr>
              <w:rStyle w:val="BodyTextChar"/>
            </w:rPr>
            <w:id w:val="1583641996"/>
            <w:placeholder>
              <w:docPart w:val="3F5103AD61074C2DB5C25D4614AF6075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72D93F22" w14:textId="579B335A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D26969" w14:textId="0F04EFB2" w:rsidR="005155AA" w:rsidRPr="005155AA" w:rsidRDefault="005155AA" w:rsidP="00BA5A2A">
      <w:pPr>
        <w:shd w:val="clear" w:color="auto" w:fill="DBE5F1" w:themeFill="accent1" w:themeFillTint="33"/>
        <w:rPr>
          <w:b/>
          <w:bCs/>
          <w:color w:val="365F91" w:themeColor="accent1" w:themeShade="BF"/>
        </w:rPr>
      </w:pPr>
      <w:r w:rsidRPr="005155AA">
        <w:rPr>
          <w:b/>
          <w:bCs/>
          <w:color w:val="365F91" w:themeColor="accent1" w:themeShade="BF"/>
        </w:rPr>
        <w:t>Section 2</w:t>
      </w:r>
      <w:r w:rsidRPr="005155AA">
        <w:rPr>
          <w:b/>
          <w:bCs/>
          <w:color w:val="365F91" w:themeColor="accent1" w:themeShade="BF"/>
        </w:rPr>
        <w:t>:</w:t>
      </w:r>
      <w:r w:rsidRPr="005155AA">
        <w:rPr>
          <w:b/>
          <w:bCs/>
          <w:color w:val="365F91" w:themeColor="accent1" w:themeShade="BF"/>
        </w:rPr>
        <w:t xml:space="preserve"> Regional Experiences to Leverage</w:t>
      </w:r>
    </w:p>
    <w:p w14:paraId="520CC9ED" w14:textId="16C9B6B5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>
        <w:t>ASEAN Members: How has the ASEAN Codex Taskforce supported the gathering of input from multiple stakeholders and consolidated these into regional positions? What lessons could CCASIA adapt from this experience</w:t>
      </w:r>
      <w: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5568142F" w14:textId="77777777" w:rsidTr="00BA5A2A">
        <w:sdt>
          <w:sdtPr>
            <w:rPr>
              <w:rStyle w:val="BodyTextChar"/>
            </w:rPr>
            <w:id w:val="699822267"/>
            <w:placeholder>
              <w:docPart w:val="E636FA5215A64E82B41687AEF7B1FDBE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4DA1DB54" w14:textId="16CB158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190962" w14:textId="061AED43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>
        <w:t>Beyond ASEAN, other models exist (e.g., Global Food Regulators Summit – India 2023, APEC Food Safety Cooperation Forum, ASEAN+3 collaboration).</w:t>
      </w:r>
    </w:p>
    <w:p w14:paraId="3EA838C6" w14:textId="4AB5114D" w:rsidR="005155AA" w:rsidRDefault="005155AA" w:rsidP="00BA5A2A">
      <w:pPr>
        <w:pStyle w:val="ListParagraph"/>
        <w:numPr>
          <w:ilvl w:val="0"/>
          <w:numId w:val="38"/>
        </w:numPr>
        <w:contextualSpacing w:val="0"/>
      </w:pPr>
      <w:r>
        <w:t>Which of these approaches offer useful practices for seeking and consolidating stakeholder input on Codex agenda items</w:t>
      </w:r>
      <w: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23268470" w14:textId="77777777" w:rsidTr="00BA5A2A">
        <w:sdt>
          <w:sdtPr>
            <w:rPr>
              <w:rStyle w:val="BodyTextChar"/>
            </w:rPr>
            <w:id w:val="795261172"/>
            <w:placeholder>
              <w:docPart w:val="DCAF7D7286F346E8A6EAE4AB12EFF95D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542178DC" w14:textId="78DA97C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905D84" w14:textId="6460ACE4" w:rsidR="005155AA" w:rsidRDefault="005155AA" w:rsidP="00BA5A2A">
      <w:pPr>
        <w:pStyle w:val="ListParagraph"/>
        <w:numPr>
          <w:ilvl w:val="0"/>
          <w:numId w:val="38"/>
        </w:numPr>
        <w:contextualSpacing w:val="0"/>
      </w:pPr>
      <w:r>
        <w:t>How could such practices be applied in CCASIA to strengthen the preparation of national or regional Codex positions?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63A07C45" w14:textId="77777777" w:rsidTr="00BA5A2A">
        <w:sdt>
          <w:sdtPr>
            <w:rPr>
              <w:rStyle w:val="BodyTextChar"/>
            </w:rPr>
            <w:id w:val="1033387286"/>
            <w:placeholder>
              <w:docPart w:val="0B5D3137674741178F8AA5CBE4246DCB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69FB2AA9" w14:textId="5B88CB0D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C32A06" w14:textId="37DAA1E9" w:rsidR="005155AA" w:rsidRDefault="005155AA" w:rsidP="00BA5A2A">
      <w:pPr>
        <w:pStyle w:val="ListParagraph"/>
        <w:numPr>
          <w:ilvl w:val="0"/>
          <w:numId w:val="38"/>
        </w:numPr>
        <w:contextualSpacing w:val="0"/>
      </w:pPr>
      <w:r>
        <w:t>What specific features (e.g., structured consultations before Codex meetings, rotating coordination roles, joint technical papers, regional multi-stakeholder roundtables) would be most useful to embed into CCASIA work?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38E92D08" w14:textId="77777777" w:rsidTr="00BA5A2A">
        <w:sdt>
          <w:sdtPr>
            <w:rPr>
              <w:rStyle w:val="BodyTextChar"/>
            </w:rPr>
            <w:id w:val="-924724012"/>
            <w:placeholder>
              <w:docPart w:val="1EA785AAB9494C1AB47C81C3BFD5B615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67D6DD00" w14:textId="393CF46A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632704" w14:textId="3DE6B8BC" w:rsidR="005155AA" w:rsidRPr="005155AA" w:rsidRDefault="005155AA" w:rsidP="00BA5A2A">
      <w:pPr>
        <w:shd w:val="clear" w:color="auto" w:fill="DBE5F1" w:themeFill="accent1" w:themeFillTint="33"/>
        <w:rPr>
          <w:b/>
          <w:bCs/>
          <w:color w:val="365F91" w:themeColor="accent1" w:themeShade="BF"/>
        </w:rPr>
      </w:pPr>
      <w:r w:rsidRPr="005155AA">
        <w:rPr>
          <w:b/>
          <w:bCs/>
          <w:color w:val="365F91" w:themeColor="accent1" w:themeShade="BF"/>
        </w:rPr>
        <w:t>Section 3</w:t>
      </w:r>
      <w:r w:rsidRPr="005155AA">
        <w:rPr>
          <w:b/>
          <w:bCs/>
          <w:color w:val="365F91" w:themeColor="accent1" w:themeShade="BF"/>
        </w:rPr>
        <w:t>:</w:t>
      </w:r>
      <w:r w:rsidRPr="005155AA">
        <w:rPr>
          <w:b/>
          <w:bCs/>
          <w:color w:val="365F91" w:themeColor="accent1" w:themeShade="BF"/>
        </w:rPr>
        <w:t xml:space="preserve"> Opportunities for Systematic Engagement</w:t>
      </w:r>
    </w:p>
    <w:p w14:paraId="58E484A0" w14:textId="3A3B09F3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 w:rsidRPr="005155AA">
        <w:t>What mechanisms would you propose to ensure regular and structured stakeholder input into CCASIA deliberations?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46B0EA15" w14:textId="77777777" w:rsidTr="00BA5A2A">
        <w:sdt>
          <w:sdtPr>
            <w:rPr>
              <w:rStyle w:val="BodyTextChar"/>
            </w:rPr>
            <w:id w:val="404884316"/>
            <w:placeholder>
              <w:docPart w:val="8AD5B32658854348A6664279E9B3873B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14FCF0DC" w14:textId="06889C57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8605C9" w14:textId="5D31C2D9" w:rsidR="005155AA" w:rsidRDefault="005155AA" w:rsidP="00BA5A2A">
      <w:pPr>
        <w:pStyle w:val="ListParagraph"/>
        <w:numPr>
          <w:ilvl w:val="0"/>
          <w:numId w:val="39"/>
        </w:numPr>
        <w:contextualSpacing w:val="0"/>
      </w:pPr>
      <w:r w:rsidRPr="005155AA">
        <w:t>National multi-stakeholder advisory committees?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536C4D7C" w14:textId="77777777" w:rsidTr="00BA5A2A">
        <w:sdt>
          <w:sdtPr>
            <w:rPr>
              <w:rStyle w:val="BodyTextChar"/>
            </w:rPr>
            <w:id w:val="-104264410"/>
            <w:placeholder>
              <w:docPart w:val="E0A22557491149C7AFA209FB9E648573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5A0A2CFA" w14:textId="52C13521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C49CD9" w14:textId="28D6996E" w:rsidR="005155AA" w:rsidRDefault="005155AA" w:rsidP="00BA5A2A">
      <w:pPr>
        <w:pStyle w:val="ListParagraph"/>
        <w:numPr>
          <w:ilvl w:val="0"/>
          <w:numId w:val="39"/>
        </w:numPr>
        <w:contextualSpacing w:val="0"/>
      </w:pPr>
      <w:r w:rsidRPr="005155AA">
        <w:t>Regional dialogue platforms linked to CCASIA sessions?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280640FC" w14:textId="77777777" w:rsidTr="00BA5A2A">
        <w:sdt>
          <w:sdtPr>
            <w:rPr>
              <w:rStyle w:val="BodyTextChar"/>
            </w:rPr>
            <w:id w:val="636457185"/>
            <w:placeholder>
              <w:docPart w:val="3BEA9426A9584648AF809842BC823749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4CFD2F23" w14:textId="2D9E9F5E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48AB23" w14:textId="4C044729" w:rsidR="005155AA" w:rsidRDefault="005155AA" w:rsidP="00BA5A2A">
      <w:pPr>
        <w:pStyle w:val="ListParagraph"/>
        <w:numPr>
          <w:ilvl w:val="0"/>
          <w:numId w:val="39"/>
        </w:numPr>
        <w:contextualSpacing w:val="0"/>
      </w:pPr>
      <w:r w:rsidRPr="005155AA">
        <w:t>Standing roundtables focused on specific Codex agenda items?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235D0D4A" w14:textId="77777777" w:rsidTr="00BA5A2A">
        <w:sdt>
          <w:sdtPr>
            <w:rPr>
              <w:rStyle w:val="BodyTextChar"/>
            </w:rPr>
            <w:id w:val="-2019145490"/>
            <w:placeholder>
              <w:docPart w:val="57195379E2BD4D158CA2A21ADCE58AAA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4D5DD263" w14:textId="10728159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DA2AF7" w14:textId="5D6AE5EB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 w:rsidRPr="005155AA">
        <w:t>How can CCASIA better integrate Codex Observers (e.g., food industry associations, science-based organizations, consumer groups) into preparatory and follow-up processes?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1FB1A251" w14:textId="77777777" w:rsidTr="00BA5A2A">
        <w:sdt>
          <w:sdtPr>
            <w:rPr>
              <w:rStyle w:val="BodyTextChar"/>
            </w:rPr>
            <w:id w:val="-111669347"/>
            <w:placeholder>
              <w:docPart w:val="90E7BD1F625340C6AC3C13326435B34D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368822F3" w14:textId="2B984D9E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0E56F0" w14:textId="7DAACEC3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 w:rsidRPr="005155AA">
        <w:lastRenderedPageBreak/>
        <w:t>Would your country support the creation of a regional multi-stakeholder advisory mechanism to inform CCASIA’s Codex work?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31A308CB" w14:textId="77777777" w:rsidTr="00BA5A2A">
        <w:sdt>
          <w:sdtPr>
            <w:rPr>
              <w:rStyle w:val="BodyTextChar"/>
            </w:rPr>
            <w:id w:val="-1389796393"/>
            <w:placeholder>
              <w:docPart w:val="F1695EDA5CEF4A60BE5CBE5F194B55E3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111A1BA3" w14:textId="455E25FC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EA83BC" w14:textId="21CA8DB6" w:rsidR="005155AA" w:rsidRDefault="005155AA" w:rsidP="00BA5A2A">
      <w:pPr>
        <w:pStyle w:val="ListParagraph"/>
        <w:numPr>
          <w:ilvl w:val="0"/>
          <w:numId w:val="40"/>
        </w:numPr>
        <w:contextualSpacing w:val="0"/>
      </w:pPr>
      <w:r w:rsidRPr="005155AA">
        <w:t>If yes, what governance and hosting arrangements would be feasible?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2494AFE7" w14:textId="77777777" w:rsidTr="00BA5A2A">
        <w:sdt>
          <w:sdtPr>
            <w:rPr>
              <w:rStyle w:val="BodyTextChar"/>
            </w:rPr>
            <w:id w:val="-296213855"/>
            <w:placeholder>
              <w:docPart w:val="FC90AEB02F964D2E84AA06A709C473B6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453BDCDC" w14:textId="6AE852E5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CC9F63" w14:textId="321FAA65" w:rsidR="005155AA" w:rsidRPr="005155AA" w:rsidRDefault="005155AA" w:rsidP="00BA5A2A">
      <w:pPr>
        <w:shd w:val="clear" w:color="auto" w:fill="DBE5F1" w:themeFill="accent1" w:themeFillTint="33"/>
        <w:rPr>
          <w:b/>
          <w:bCs/>
          <w:color w:val="365F91" w:themeColor="accent1" w:themeShade="BF"/>
        </w:rPr>
      </w:pPr>
      <w:r w:rsidRPr="005155AA">
        <w:rPr>
          <w:b/>
          <w:bCs/>
          <w:color w:val="365F91" w:themeColor="accent1" w:themeShade="BF"/>
        </w:rPr>
        <w:t>Section 4</w:t>
      </w:r>
      <w:r>
        <w:rPr>
          <w:b/>
          <w:bCs/>
          <w:color w:val="365F91" w:themeColor="accent1" w:themeShade="BF"/>
        </w:rPr>
        <w:t xml:space="preserve">: </w:t>
      </w:r>
      <w:r w:rsidRPr="005155AA">
        <w:rPr>
          <w:b/>
          <w:bCs/>
          <w:color w:val="365F91" w:themeColor="accent1" w:themeShade="BF"/>
        </w:rPr>
        <w:t>Capacity Building and Transparency</w:t>
      </w:r>
    </w:p>
    <w:p w14:paraId="24DC2D14" w14:textId="39BD5CD4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 w:rsidRPr="005155AA">
        <w:t>How can CCASIA forums strengthen stakeholder understanding of Codex processes, e.g., through training, explanatory briefs, or joint analysis of Codex agendas?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7D00C18A" w14:textId="77777777" w:rsidTr="00BA5A2A">
        <w:sdt>
          <w:sdtPr>
            <w:rPr>
              <w:rStyle w:val="BodyTextChar"/>
            </w:rPr>
            <w:id w:val="1109087534"/>
            <w:placeholder>
              <w:docPart w:val="4C392A151B7147108A53740F4082D31A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7CD7C72B" w14:textId="0CF63427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BA0B5E" w14:textId="4E4C442E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 w:rsidRPr="005155AA">
        <w:t>What tools would enhance transparency and inclusiveness in multi-stakeholder engagement?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09A06822" w14:textId="77777777" w:rsidTr="00BA5A2A">
        <w:sdt>
          <w:sdtPr>
            <w:rPr>
              <w:rStyle w:val="BodyTextChar"/>
            </w:rPr>
            <w:id w:val="-745646242"/>
            <w:placeholder>
              <w:docPart w:val="6F03FE61F89C474F9F5EED2223B7899A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3D79EDB1" w14:textId="00F49B4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52EA57" w14:textId="6B12595A" w:rsidR="005155AA" w:rsidRDefault="005155AA" w:rsidP="00BA5A2A">
      <w:pPr>
        <w:pStyle w:val="ListParagraph"/>
        <w:numPr>
          <w:ilvl w:val="0"/>
          <w:numId w:val="41"/>
        </w:numPr>
        <w:contextualSpacing w:val="0"/>
      </w:pPr>
      <w:r w:rsidRPr="005155AA">
        <w:t>Online consultation platforms?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5D54FC13" w14:textId="77777777" w:rsidTr="00BA5A2A">
        <w:sdt>
          <w:sdtPr>
            <w:rPr>
              <w:rStyle w:val="BodyTextChar"/>
            </w:rPr>
            <w:id w:val="1085185685"/>
            <w:placeholder>
              <w:docPart w:val="593FD7FFB95544FC9A880493531B44E2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5433ABDC" w14:textId="0BAA9608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F4F999" w14:textId="1D983A4D" w:rsidR="005155AA" w:rsidRDefault="005155AA" w:rsidP="00BA5A2A">
      <w:pPr>
        <w:pStyle w:val="ListParagraph"/>
        <w:numPr>
          <w:ilvl w:val="0"/>
          <w:numId w:val="41"/>
        </w:numPr>
        <w:contextualSpacing w:val="0"/>
      </w:pPr>
      <w:r w:rsidRPr="005155AA">
        <w:t>Circulation of discussion papers on Codex agenda items for stakeholder feedback?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23E63776" w14:textId="77777777" w:rsidTr="00BA5A2A">
        <w:sdt>
          <w:sdtPr>
            <w:rPr>
              <w:rStyle w:val="BodyTextChar"/>
            </w:rPr>
            <w:id w:val="-1546367528"/>
            <w:placeholder>
              <w:docPart w:val="A6100E3C4F244464BDDF536F2B0BC65D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15C439B3" w14:textId="4D63422B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18554D" w14:textId="4865E451" w:rsidR="005155AA" w:rsidRDefault="005155AA" w:rsidP="00BA5A2A">
      <w:pPr>
        <w:pStyle w:val="ListParagraph"/>
        <w:numPr>
          <w:ilvl w:val="0"/>
          <w:numId w:val="41"/>
        </w:numPr>
        <w:contextualSpacing w:val="0"/>
      </w:pPr>
      <w:r w:rsidRPr="005155AA">
        <w:t>Regional webinars ahead of Codex 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A5A2A" w14:paraId="3E4EE0D7" w14:textId="77777777" w:rsidTr="00BA5A2A">
        <w:sdt>
          <w:sdtPr>
            <w:rPr>
              <w:rStyle w:val="BodyTextChar"/>
            </w:rPr>
            <w:id w:val="2131121385"/>
            <w:placeholder>
              <w:docPart w:val="7D41872FDF24422683E2CAA611FFE627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3523ED2E" w14:textId="5ACFF0B0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8D21F8" w14:textId="45DF0005" w:rsidR="005155AA" w:rsidRPr="005155AA" w:rsidRDefault="005155AA" w:rsidP="00BA5A2A">
      <w:pPr>
        <w:shd w:val="clear" w:color="auto" w:fill="DBE5F1" w:themeFill="accent1" w:themeFillTint="33"/>
        <w:rPr>
          <w:b/>
          <w:bCs/>
          <w:color w:val="365F91" w:themeColor="accent1" w:themeShade="BF"/>
        </w:rPr>
      </w:pPr>
      <w:r w:rsidRPr="005155AA">
        <w:rPr>
          <w:b/>
          <w:bCs/>
          <w:color w:val="365F91" w:themeColor="accent1" w:themeShade="BF"/>
        </w:rPr>
        <w:t>Section 5</w:t>
      </w:r>
      <w:r w:rsidRPr="005155AA">
        <w:rPr>
          <w:b/>
          <w:bCs/>
          <w:color w:val="365F91" w:themeColor="accent1" w:themeShade="BF"/>
        </w:rPr>
        <w:t xml:space="preserve">: </w:t>
      </w:r>
      <w:r w:rsidRPr="005155AA">
        <w:rPr>
          <w:b/>
          <w:bCs/>
          <w:color w:val="365F91" w:themeColor="accent1" w:themeShade="BF"/>
        </w:rPr>
        <w:t>Action Planning</w:t>
      </w:r>
    </w:p>
    <w:p w14:paraId="66D6CD07" w14:textId="3010245E" w:rsidR="005155AA" w:rsidRDefault="005155AA" w:rsidP="00BA5A2A">
      <w:pPr>
        <w:pStyle w:val="ListParagraph"/>
        <w:numPr>
          <w:ilvl w:val="0"/>
          <w:numId w:val="34"/>
        </w:numPr>
        <w:contextualSpacing w:val="0"/>
      </w:pPr>
      <w:r w:rsidRPr="005155AA">
        <w:t>Which priority areas (e.g., food innovation, food contact materials, ultra-processed foods, contaminants, nutrition labeling) require immediate multi-stakeholder engagement in CCASIA?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A5A2A" w14:paraId="12B0091B" w14:textId="77777777" w:rsidTr="00BA5A2A">
        <w:sdt>
          <w:sdtPr>
            <w:rPr>
              <w:rStyle w:val="BodyTextChar"/>
            </w:rPr>
            <w:id w:val="213159805"/>
            <w:placeholder>
              <w:docPart w:val="8D08259789A24EBE924CEBEFD9470FE5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398A88D4" w14:textId="066ADBF7" w:rsidR="00BA5A2A" w:rsidRDefault="00BA5A2A" w:rsidP="00BA5A2A">
                <w:pPr>
                  <w:pStyle w:val="ListParagraph"/>
                  <w:ind w:left="0"/>
                  <w:contextualSpacing w:val="0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A89836" w14:textId="7039B667" w:rsidR="005155AA" w:rsidRPr="00FA10E4" w:rsidRDefault="005155AA" w:rsidP="00BA5A2A">
      <w:pPr>
        <w:pStyle w:val="ListParagraph"/>
        <w:numPr>
          <w:ilvl w:val="0"/>
          <w:numId w:val="34"/>
        </w:numPr>
        <w:contextualSpacing w:val="0"/>
        <w:rPr>
          <w:b/>
          <w:bCs/>
        </w:rPr>
      </w:pPr>
      <w:r w:rsidRPr="005155AA">
        <w:t>What concrete next steps should CCASIA take to institutionalize structured multi-stakeholder participation ahead of CCASIA23 and CAC4</w:t>
      </w:r>
      <w:r w:rsidR="00BA5A2A">
        <w:t>8?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FA10E4" w14:paraId="61435A5C" w14:textId="77777777" w:rsidTr="00FA10E4">
        <w:sdt>
          <w:sdtPr>
            <w:rPr>
              <w:rStyle w:val="BodyTextChar"/>
            </w:rPr>
            <w:id w:val="-539276533"/>
            <w:placeholder>
              <w:docPart w:val="B152867321044BD7916F5E64787D6304"/>
            </w:placeholder>
            <w:showingPlcHdr/>
          </w:sdtPr>
          <w:sdtEndPr>
            <w:rPr>
              <w:rStyle w:val="DefaultParagraphFont"/>
              <w:i w:val="0"/>
              <w:iCs w:val="0"/>
              <w:color w:val="000000"/>
            </w:rPr>
          </w:sdtEndPr>
          <w:sdtContent>
            <w:tc>
              <w:tcPr>
                <w:tcW w:w="10790" w:type="dxa"/>
              </w:tcPr>
              <w:p w14:paraId="2E4D29A5" w14:textId="24ABA543" w:rsidR="00FA10E4" w:rsidRDefault="00FA10E4" w:rsidP="00FA10E4">
                <w:pPr>
                  <w:pStyle w:val="ListParagraph"/>
                  <w:ind w:left="0"/>
                  <w:contextualSpacing w:val="0"/>
                  <w:rPr>
                    <w:b/>
                    <w:bCs/>
                  </w:rPr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DB38AE" w14:textId="77777777" w:rsidR="00BA5A2A" w:rsidRPr="00BA5A2A" w:rsidRDefault="00BA5A2A" w:rsidP="00BA5A2A">
      <w:pPr>
        <w:rPr>
          <w:b/>
          <w:bCs/>
        </w:rPr>
      </w:pPr>
    </w:p>
    <w:sectPr w:rsidR="00BA5A2A" w:rsidRPr="00BA5A2A" w:rsidSect="00D346D3">
      <w:headerReference w:type="default" r:id="rId10"/>
      <w:footerReference w:type="default" r:id="rId11"/>
      <w:footerReference w:type="first" r:id="rId12"/>
      <w:pgSz w:w="12240" w:h="15840"/>
      <w:pgMar w:top="1296" w:right="720" w:bottom="1296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D22B" w14:textId="77777777" w:rsidR="002E4097" w:rsidRDefault="002E4097" w:rsidP="00CC3F2F">
      <w:r>
        <w:separator/>
      </w:r>
    </w:p>
  </w:endnote>
  <w:endnote w:type="continuationSeparator" w:id="0">
    <w:p w14:paraId="3B5B75DD" w14:textId="77777777" w:rsidR="002E4097" w:rsidRDefault="002E4097" w:rsidP="00CC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1570" w14:textId="649184CA" w:rsidR="00D346D3" w:rsidRPr="00A63476" w:rsidRDefault="00D346D3" w:rsidP="00A63476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A63476">
      <w:rPr>
        <w:sz w:val="20"/>
        <w:szCs w:val="20"/>
      </w:rPr>
      <w:fldChar w:fldCharType="begin"/>
    </w:r>
    <w:r w:rsidRPr="00A63476">
      <w:rPr>
        <w:sz w:val="20"/>
        <w:szCs w:val="20"/>
      </w:rPr>
      <w:instrText xml:space="preserve"> PAGE </w:instrText>
    </w:r>
    <w:r w:rsidRPr="00A63476">
      <w:rPr>
        <w:sz w:val="20"/>
        <w:szCs w:val="20"/>
      </w:rPr>
      <w:fldChar w:fldCharType="separate"/>
    </w:r>
    <w:r w:rsidRPr="00A63476">
      <w:rPr>
        <w:sz w:val="20"/>
        <w:szCs w:val="20"/>
      </w:rPr>
      <w:t>2</w:t>
    </w:r>
    <w:r w:rsidRPr="00A63476">
      <w:rPr>
        <w:sz w:val="20"/>
        <w:szCs w:val="20"/>
      </w:rPr>
      <w:fldChar w:fldCharType="end"/>
    </w:r>
    <w:r w:rsidRPr="00A63476">
      <w:rPr>
        <w:sz w:val="20"/>
        <w:szCs w:val="20"/>
      </w:rPr>
      <w:t>/</w:t>
    </w:r>
    <w:r w:rsidRPr="00A63476">
      <w:rPr>
        <w:sz w:val="20"/>
        <w:szCs w:val="20"/>
      </w:rPr>
      <w:fldChar w:fldCharType="begin"/>
    </w:r>
    <w:r w:rsidRPr="00A63476">
      <w:rPr>
        <w:sz w:val="20"/>
        <w:szCs w:val="20"/>
      </w:rPr>
      <w:instrText xml:space="preserve"> NUMPAGES  </w:instrText>
    </w:r>
    <w:r w:rsidRPr="00A63476">
      <w:rPr>
        <w:sz w:val="20"/>
        <w:szCs w:val="20"/>
      </w:rPr>
      <w:fldChar w:fldCharType="separate"/>
    </w:r>
    <w:r w:rsidRPr="00A63476">
      <w:rPr>
        <w:sz w:val="20"/>
        <w:szCs w:val="20"/>
      </w:rPr>
      <w:t>8</w:t>
    </w:r>
    <w:r w:rsidRPr="00A6347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200C" w14:textId="205C8D0C" w:rsidR="00D346D3" w:rsidRPr="00A63476" w:rsidRDefault="00D346D3" w:rsidP="00A63476">
    <w:pPr>
      <w:pStyle w:val="Footer"/>
      <w:pBdr>
        <w:top w:val="single" w:sz="4" w:space="1" w:color="auto"/>
      </w:pBdr>
      <w:jc w:val="center"/>
      <w:rPr>
        <w:i/>
        <w:iCs/>
        <w:sz w:val="20"/>
        <w:szCs w:val="20"/>
      </w:rPr>
    </w:pPr>
    <w:r w:rsidRPr="00A63476">
      <w:rPr>
        <w:i/>
        <w:iCs/>
        <w:sz w:val="20"/>
        <w:szCs w:val="20"/>
      </w:rPr>
      <w:t>Updated 1</w:t>
    </w:r>
    <w:r w:rsidR="00591EF5">
      <w:rPr>
        <w:i/>
        <w:iCs/>
        <w:sz w:val="20"/>
        <w:szCs w:val="20"/>
      </w:rPr>
      <w:t>7</w:t>
    </w:r>
    <w:r w:rsidRPr="00A63476">
      <w:rPr>
        <w:i/>
        <w:iCs/>
        <w:sz w:val="20"/>
        <w:szCs w:val="20"/>
      </w:rP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9B6A" w14:textId="77777777" w:rsidR="002E4097" w:rsidRDefault="002E4097" w:rsidP="00CC3F2F">
      <w:r>
        <w:separator/>
      </w:r>
    </w:p>
  </w:footnote>
  <w:footnote w:type="continuationSeparator" w:id="0">
    <w:p w14:paraId="662241E7" w14:textId="77777777" w:rsidR="002E4097" w:rsidRDefault="002E4097" w:rsidP="00CC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192" w14:textId="1E6C9A4F" w:rsidR="00D346D3" w:rsidRPr="007002CF" w:rsidRDefault="00844830" w:rsidP="007002CF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 w:rsidRPr="007002CF">
      <w:rPr>
        <w:i/>
        <w:iCs/>
        <w:sz w:val="20"/>
        <w:szCs w:val="20"/>
      </w:rPr>
      <w:t>CCASIA Collaborative Mechanisms for Advancing Food Innovation and Regulatory Convergence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BC5A81"/>
    <w:multiLevelType w:val="hybridMultilevel"/>
    <w:tmpl w:val="B6F0BD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921AF"/>
    <w:multiLevelType w:val="hybridMultilevel"/>
    <w:tmpl w:val="F9D854D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C5C72"/>
    <w:multiLevelType w:val="hybridMultilevel"/>
    <w:tmpl w:val="A85ECF9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D6AF3"/>
    <w:multiLevelType w:val="hybridMultilevel"/>
    <w:tmpl w:val="2982ADB6"/>
    <w:lvl w:ilvl="0" w:tplc="09FE95D2">
      <w:start w:val="2025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D7C52"/>
    <w:multiLevelType w:val="hybridMultilevel"/>
    <w:tmpl w:val="C7FC9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0178A"/>
    <w:multiLevelType w:val="hybridMultilevel"/>
    <w:tmpl w:val="6F1870F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6" w15:restartNumberingAfterBreak="0">
    <w:nsid w:val="264D0F3F"/>
    <w:multiLevelType w:val="hybridMultilevel"/>
    <w:tmpl w:val="A0E0404E"/>
    <w:lvl w:ilvl="0" w:tplc="1A5A507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029B0"/>
    <w:multiLevelType w:val="hybridMultilevel"/>
    <w:tmpl w:val="FD56734E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8" w15:restartNumberingAfterBreak="0">
    <w:nsid w:val="2B5D58E2"/>
    <w:multiLevelType w:val="hybridMultilevel"/>
    <w:tmpl w:val="0DF25ED4"/>
    <w:lvl w:ilvl="0" w:tplc="64022A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79436E8">
      <w:start w:val="1"/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D06D7"/>
    <w:multiLevelType w:val="hybridMultilevel"/>
    <w:tmpl w:val="3A96FEBA"/>
    <w:lvl w:ilvl="0" w:tplc="09FE95D2">
      <w:start w:val="2025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75972"/>
    <w:multiLevelType w:val="hybridMultilevel"/>
    <w:tmpl w:val="643A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66E4D"/>
    <w:multiLevelType w:val="hybridMultilevel"/>
    <w:tmpl w:val="8B48F02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38AF"/>
    <w:multiLevelType w:val="hybridMultilevel"/>
    <w:tmpl w:val="A144419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16CE6"/>
    <w:multiLevelType w:val="hybridMultilevel"/>
    <w:tmpl w:val="04CEC790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4" w15:restartNumberingAfterBreak="0">
    <w:nsid w:val="40942486"/>
    <w:multiLevelType w:val="hybridMultilevel"/>
    <w:tmpl w:val="A002E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35938"/>
    <w:multiLevelType w:val="hybridMultilevel"/>
    <w:tmpl w:val="EF4E225A"/>
    <w:lvl w:ilvl="0" w:tplc="C854C65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70FD7"/>
    <w:multiLevelType w:val="hybridMultilevel"/>
    <w:tmpl w:val="C7FC9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952F3"/>
    <w:multiLevelType w:val="hybridMultilevel"/>
    <w:tmpl w:val="2012C69C"/>
    <w:lvl w:ilvl="0" w:tplc="E8F0D6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A9736B"/>
    <w:multiLevelType w:val="hybridMultilevel"/>
    <w:tmpl w:val="01D6A6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D3535"/>
    <w:multiLevelType w:val="multilevel"/>
    <w:tmpl w:val="5B80D0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474952"/>
    <w:multiLevelType w:val="hybridMultilevel"/>
    <w:tmpl w:val="00201578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1" w15:restartNumberingAfterBreak="0">
    <w:nsid w:val="692862D9"/>
    <w:multiLevelType w:val="hybridMultilevel"/>
    <w:tmpl w:val="C7FC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2676E"/>
    <w:multiLevelType w:val="hybridMultilevel"/>
    <w:tmpl w:val="8136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06F1B"/>
    <w:multiLevelType w:val="hybridMultilevel"/>
    <w:tmpl w:val="7CAE8F78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4" w15:restartNumberingAfterBreak="0">
    <w:nsid w:val="6FEB546A"/>
    <w:multiLevelType w:val="hybridMultilevel"/>
    <w:tmpl w:val="725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636E4"/>
    <w:multiLevelType w:val="hybridMultilevel"/>
    <w:tmpl w:val="04A46E1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A335B"/>
    <w:multiLevelType w:val="hybridMultilevel"/>
    <w:tmpl w:val="DC94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53DCD"/>
    <w:multiLevelType w:val="hybridMultilevel"/>
    <w:tmpl w:val="5E729DD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F41962"/>
    <w:multiLevelType w:val="hybridMultilevel"/>
    <w:tmpl w:val="FB30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C21ED"/>
    <w:multiLevelType w:val="hybridMultilevel"/>
    <w:tmpl w:val="97B45BA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C52B9"/>
    <w:multiLevelType w:val="hybridMultilevel"/>
    <w:tmpl w:val="4C469B88"/>
    <w:lvl w:ilvl="0" w:tplc="5F5A9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1"/>
  </w:num>
  <w:num w:numId="12">
    <w:abstractNumId w:val="14"/>
  </w:num>
  <w:num w:numId="13">
    <w:abstractNumId w:val="13"/>
  </w:num>
  <w:num w:numId="14">
    <w:abstractNumId w:val="26"/>
  </w:num>
  <w:num w:numId="15">
    <w:abstractNumId w:val="16"/>
  </w:num>
  <w:num w:numId="16">
    <w:abstractNumId w:val="29"/>
  </w:num>
  <w:num w:numId="17">
    <w:abstractNumId w:val="19"/>
  </w:num>
  <w:num w:numId="18">
    <w:abstractNumId w:val="10"/>
  </w:num>
  <w:num w:numId="19">
    <w:abstractNumId w:val="28"/>
  </w:num>
  <w:num w:numId="20">
    <w:abstractNumId w:val="25"/>
  </w:num>
  <w:num w:numId="21">
    <w:abstractNumId w:val="30"/>
  </w:num>
  <w:num w:numId="22">
    <w:abstractNumId w:val="18"/>
  </w:num>
  <w:num w:numId="23">
    <w:abstractNumId w:val="34"/>
  </w:num>
  <w:num w:numId="24">
    <w:abstractNumId w:val="15"/>
  </w:num>
  <w:num w:numId="25">
    <w:abstractNumId w:val="36"/>
  </w:num>
  <w:num w:numId="26">
    <w:abstractNumId w:val="17"/>
  </w:num>
  <w:num w:numId="27">
    <w:abstractNumId w:val="32"/>
  </w:num>
  <w:num w:numId="28">
    <w:abstractNumId w:val="23"/>
  </w:num>
  <w:num w:numId="29">
    <w:abstractNumId w:val="20"/>
  </w:num>
  <w:num w:numId="30">
    <w:abstractNumId w:val="33"/>
  </w:num>
  <w:num w:numId="31">
    <w:abstractNumId w:val="40"/>
  </w:num>
  <w:num w:numId="32">
    <w:abstractNumId w:val="38"/>
  </w:num>
  <w:num w:numId="33">
    <w:abstractNumId w:val="24"/>
  </w:num>
  <w:num w:numId="34">
    <w:abstractNumId w:val="27"/>
  </w:num>
  <w:num w:numId="35">
    <w:abstractNumId w:val="22"/>
  </w:num>
  <w:num w:numId="36">
    <w:abstractNumId w:val="37"/>
  </w:num>
  <w:num w:numId="37">
    <w:abstractNumId w:val="35"/>
  </w:num>
  <w:num w:numId="38">
    <w:abstractNumId w:val="11"/>
  </w:num>
  <w:num w:numId="39">
    <w:abstractNumId w:val="39"/>
  </w:num>
  <w:num w:numId="40">
    <w:abstractNumId w:val="2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58C"/>
    <w:rsid w:val="00092163"/>
    <w:rsid w:val="000E242C"/>
    <w:rsid w:val="0015074B"/>
    <w:rsid w:val="00186FA6"/>
    <w:rsid w:val="001906E8"/>
    <w:rsid w:val="001B16CE"/>
    <w:rsid w:val="001B6F1E"/>
    <w:rsid w:val="001C01E6"/>
    <w:rsid w:val="002045DD"/>
    <w:rsid w:val="00211E38"/>
    <w:rsid w:val="002156F8"/>
    <w:rsid w:val="00217BF6"/>
    <w:rsid w:val="00221245"/>
    <w:rsid w:val="002351B3"/>
    <w:rsid w:val="0029639D"/>
    <w:rsid w:val="002E4097"/>
    <w:rsid w:val="00307BDF"/>
    <w:rsid w:val="0031125C"/>
    <w:rsid w:val="00326F90"/>
    <w:rsid w:val="00336ACD"/>
    <w:rsid w:val="00390422"/>
    <w:rsid w:val="003C230F"/>
    <w:rsid w:val="004C1396"/>
    <w:rsid w:val="0051400A"/>
    <w:rsid w:val="005155AA"/>
    <w:rsid w:val="00573894"/>
    <w:rsid w:val="00591EF5"/>
    <w:rsid w:val="005E20DB"/>
    <w:rsid w:val="006003E6"/>
    <w:rsid w:val="007002CF"/>
    <w:rsid w:val="007176F6"/>
    <w:rsid w:val="007D051F"/>
    <w:rsid w:val="00844830"/>
    <w:rsid w:val="0086145C"/>
    <w:rsid w:val="00877B7F"/>
    <w:rsid w:val="008A0FA4"/>
    <w:rsid w:val="008B7D90"/>
    <w:rsid w:val="00970469"/>
    <w:rsid w:val="009B6AA7"/>
    <w:rsid w:val="009D0B1D"/>
    <w:rsid w:val="009E3554"/>
    <w:rsid w:val="009E4CD9"/>
    <w:rsid w:val="00A63476"/>
    <w:rsid w:val="00A8423F"/>
    <w:rsid w:val="00AA1D8D"/>
    <w:rsid w:val="00AF555D"/>
    <w:rsid w:val="00AF69D6"/>
    <w:rsid w:val="00B144DC"/>
    <w:rsid w:val="00B30C78"/>
    <w:rsid w:val="00B47730"/>
    <w:rsid w:val="00BA5A2A"/>
    <w:rsid w:val="00BB080A"/>
    <w:rsid w:val="00BC5C5C"/>
    <w:rsid w:val="00BD5690"/>
    <w:rsid w:val="00C71539"/>
    <w:rsid w:val="00CA549A"/>
    <w:rsid w:val="00CB0664"/>
    <w:rsid w:val="00CC3F2F"/>
    <w:rsid w:val="00CE11AD"/>
    <w:rsid w:val="00CF3917"/>
    <w:rsid w:val="00D0066D"/>
    <w:rsid w:val="00D168B0"/>
    <w:rsid w:val="00D326C4"/>
    <w:rsid w:val="00D346D3"/>
    <w:rsid w:val="00D51AEC"/>
    <w:rsid w:val="00D911B7"/>
    <w:rsid w:val="00DC0CE6"/>
    <w:rsid w:val="00DD16C4"/>
    <w:rsid w:val="00DD196F"/>
    <w:rsid w:val="00E50708"/>
    <w:rsid w:val="00E9690F"/>
    <w:rsid w:val="00E96B21"/>
    <w:rsid w:val="00ED36FB"/>
    <w:rsid w:val="00F5231B"/>
    <w:rsid w:val="00F62717"/>
    <w:rsid w:val="00FA10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E3C87"/>
  <w14:defaultImageDpi w14:val="300"/>
  <w15:docId w15:val="{4F64AC53-036A-0440-B908-1B3EBEE4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2F"/>
    <w:pPr>
      <w:autoSpaceDE w:val="0"/>
      <w:autoSpaceDN w:val="0"/>
      <w:adjustRightInd w:val="0"/>
      <w:spacing w:before="120" w:after="120" w:line="300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346D3"/>
    <w:pPr>
      <w:numPr>
        <w:numId w:val="16"/>
      </w:numPr>
      <w:shd w:val="clear" w:color="auto" w:fill="365F91" w:themeFill="accent1" w:themeFillShade="BF"/>
      <w:spacing w:before="240" w:line="240" w:lineRule="auto"/>
      <w:contextualSpacing w:val="0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D3"/>
    <w:pPr>
      <w:numPr>
        <w:ilvl w:val="1"/>
        <w:numId w:val="16"/>
      </w:numPr>
      <w:spacing w:before="240"/>
      <w:outlineLvl w:val="1"/>
    </w:pPr>
    <w:rPr>
      <w:b/>
      <w:bCs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46D3"/>
    <w:rPr>
      <w:rFonts w:ascii="Calibri" w:hAnsi="Calibri" w:cs="Calibri"/>
      <w:b/>
      <w:bCs/>
      <w:color w:val="FFFFFF" w:themeColor="background1"/>
      <w:shd w:val="clear" w:color="auto" w:fill="365F91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D346D3"/>
    <w:rPr>
      <w:rFonts w:ascii="Calibri" w:hAnsi="Calibri" w:cs="Calibri"/>
      <w:b/>
      <w:b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B6F1E"/>
    <w:rPr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99"/>
    <w:rsid w:val="001B6F1E"/>
    <w:rPr>
      <w:rFonts w:ascii="Calibri" w:hAnsi="Calibri" w:cs="Calibr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96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B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02CF"/>
    <w:rPr>
      <w:color w:val="808080"/>
    </w:rPr>
  </w:style>
  <w:style w:type="table" w:styleId="GridTable1Light-Accent1">
    <w:name w:val="Grid Table 1 Light Accent 1"/>
    <w:basedOn w:val="TableNormal"/>
    <w:uiPriority w:val="46"/>
    <w:rsid w:val="007002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orss.org/2025/07/11/2025asiacodexforu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BD51-D425-4863-9B22-173C4094A506}"/>
      </w:docPartPr>
      <w:docPartBody>
        <w:p w:rsidR="00002136" w:rsidRDefault="00805A6E"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D8149DDFE4BBC872384B8ED3D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57F9-A6D0-468D-8D6F-8A6CD85754CD}"/>
      </w:docPartPr>
      <w:docPartBody>
        <w:p w:rsidR="00000000" w:rsidRDefault="00002136" w:rsidP="00002136">
          <w:pPr>
            <w:pStyle w:val="D63D8149DDFE4BBC872384B8ED3D3CBE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103AD61074C2DB5C25D4614AF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4EF8-8C7B-4465-89CD-360EF645571D}"/>
      </w:docPartPr>
      <w:docPartBody>
        <w:p w:rsidR="00000000" w:rsidRDefault="00002136" w:rsidP="00002136">
          <w:pPr>
            <w:pStyle w:val="3F5103AD61074C2DB5C25D4614AF6075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6FA5215A64E82B41687AEF7B1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2D37-4E31-496F-8E5C-AE4944BD2D18}"/>
      </w:docPartPr>
      <w:docPartBody>
        <w:p w:rsidR="00000000" w:rsidRDefault="00002136" w:rsidP="00002136">
          <w:pPr>
            <w:pStyle w:val="E636FA5215A64E82B41687AEF7B1FDBE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7D7286F346E8A6EAE4AB12EF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382A-0C72-4259-9B27-8B9E7AFB59BA}"/>
      </w:docPartPr>
      <w:docPartBody>
        <w:p w:rsidR="00000000" w:rsidRDefault="00002136" w:rsidP="00002136">
          <w:pPr>
            <w:pStyle w:val="DCAF7D7286F346E8A6EAE4AB12EFF95D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D3137674741178F8AA5CBE424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EF8E-9CFD-466D-ADF5-8163D32A391B}"/>
      </w:docPartPr>
      <w:docPartBody>
        <w:p w:rsidR="00000000" w:rsidRDefault="00002136" w:rsidP="00002136">
          <w:pPr>
            <w:pStyle w:val="0B5D3137674741178F8AA5CBE4246DCB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785AAB9494C1AB47C81C3BFD5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3530-3C7B-423D-8405-0C8325EECDE4}"/>
      </w:docPartPr>
      <w:docPartBody>
        <w:p w:rsidR="00000000" w:rsidRDefault="00002136" w:rsidP="00002136">
          <w:pPr>
            <w:pStyle w:val="1EA785AAB9494C1AB47C81C3BFD5B615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5B32658854348A6664279E9B3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F611-61D4-4BE4-8585-92766A7464F4}"/>
      </w:docPartPr>
      <w:docPartBody>
        <w:p w:rsidR="00000000" w:rsidRDefault="00002136" w:rsidP="00002136">
          <w:pPr>
            <w:pStyle w:val="8AD5B32658854348A6664279E9B3873B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22557491149C7AFA209FB9E648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B2C8A-B10A-4208-9681-6F2BE38C39DA}"/>
      </w:docPartPr>
      <w:docPartBody>
        <w:p w:rsidR="00000000" w:rsidRDefault="00002136" w:rsidP="00002136">
          <w:pPr>
            <w:pStyle w:val="E0A22557491149C7AFA209FB9E648573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A9426A9584648AF809842BC82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52C2-B685-4FED-B5AF-868F635904EE}"/>
      </w:docPartPr>
      <w:docPartBody>
        <w:p w:rsidR="00000000" w:rsidRDefault="00002136" w:rsidP="00002136">
          <w:pPr>
            <w:pStyle w:val="3BEA9426A9584648AF809842BC823749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95379E2BD4D158CA2A21ADCE5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1874-9CC9-4D0A-8686-3156E2DDA3D3}"/>
      </w:docPartPr>
      <w:docPartBody>
        <w:p w:rsidR="00000000" w:rsidRDefault="00002136" w:rsidP="00002136">
          <w:pPr>
            <w:pStyle w:val="57195379E2BD4D158CA2A21ADCE58AAA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7BD1F625340C6AC3C13326435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719B-0B9C-4BD1-86D6-CD4E08B8990E}"/>
      </w:docPartPr>
      <w:docPartBody>
        <w:p w:rsidR="00000000" w:rsidRDefault="00002136" w:rsidP="00002136">
          <w:pPr>
            <w:pStyle w:val="90E7BD1F625340C6AC3C13326435B34D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95EDA5CEF4A60BE5CBE5F194B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4660-E6C1-40CB-8AE5-3082522A885E}"/>
      </w:docPartPr>
      <w:docPartBody>
        <w:p w:rsidR="00000000" w:rsidRDefault="00002136" w:rsidP="00002136">
          <w:pPr>
            <w:pStyle w:val="F1695EDA5CEF4A60BE5CBE5F194B55E3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0AEB02F964D2E84AA06A709C47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0C5D-9434-4D4B-9DA3-B4EB27930322}"/>
      </w:docPartPr>
      <w:docPartBody>
        <w:p w:rsidR="00000000" w:rsidRDefault="00002136" w:rsidP="00002136">
          <w:pPr>
            <w:pStyle w:val="FC90AEB02F964D2E84AA06A709C473B6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92A151B7147108A53740F4082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AD9F-3409-4D6D-AFEC-C93248597D13}"/>
      </w:docPartPr>
      <w:docPartBody>
        <w:p w:rsidR="00000000" w:rsidRDefault="00002136" w:rsidP="00002136">
          <w:pPr>
            <w:pStyle w:val="4C392A151B7147108A53740F4082D31A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3FE61F89C474F9F5EED2223B7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4459-D7F0-4029-B9B0-11CBA4A03E4E}"/>
      </w:docPartPr>
      <w:docPartBody>
        <w:p w:rsidR="00000000" w:rsidRDefault="00002136" w:rsidP="00002136">
          <w:pPr>
            <w:pStyle w:val="6F03FE61F89C474F9F5EED2223B7899A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FD7FFB95544FC9A880493531B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67A0-868E-48C5-83A3-FE64FB8820E5}"/>
      </w:docPartPr>
      <w:docPartBody>
        <w:p w:rsidR="00000000" w:rsidRDefault="00002136" w:rsidP="00002136">
          <w:pPr>
            <w:pStyle w:val="593FD7FFB95544FC9A880493531B44E2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00E3C4F244464BDDF536F2B0BC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85A4-ED35-440B-8936-CCEE6F70CCDE}"/>
      </w:docPartPr>
      <w:docPartBody>
        <w:p w:rsidR="00000000" w:rsidRDefault="00002136" w:rsidP="00002136">
          <w:pPr>
            <w:pStyle w:val="A6100E3C4F244464BDDF536F2B0BC65D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1872FDF24422683E2CAA611FFE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2C9C-DABE-44EF-8825-A61108463FAF}"/>
      </w:docPartPr>
      <w:docPartBody>
        <w:p w:rsidR="00000000" w:rsidRDefault="00002136" w:rsidP="00002136">
          <w:pPr>
            <w:pStyle w:val="7D41872FDF24422683E2CAA611FFE627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8259789A24EBE924CEBEFD947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C922-EB2E-400A-A5A3-08B3FDE0D7AA}"/>
      </w:docPartPr>
      <w:docPartBody>
        <w:p w:rsidR="00000000" w:rsidRDefault="00002136" w:rsidP="00002136">
          <w:pPr>
            <w:pStyle w:val="8D08259789A24EBE924CEBEFD9470FE5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2867321044BD7916F5E64787D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A086-F819-4F7E-8183-6254AB9C98C6}"/>
      </w:docPartPr>
      <w:docPartBody>
        <w:p w:rsidR="00000000" w:rsidRDefault="00002136" w:rsidP="00002136">
          <w:pPr>
            <w:pStyle w:val="B152867321044BD7916F5E64787D6304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E6"/>
    <w:rsid w:val="00002136"/>
    <w:rsid w:val="000057F7"/>
    <w:rsid w:val="00805A6E"/>
    <w:rsid w:val="00BA20A0"/>
    <w:rsid w:val="00C436A1"/>
    <w:rsid w:val="00F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136"/>
    <w:rPr>
      <w:color w:val="808080"/>
    </w:rPr>
  </w:style>
  <w:style w:type="paragraph" w:customStyle="1" w:styleId="56FAC9DF54634914A4E7AA07E13BAB87">
    <w:name w:val="56FAC9DF54634914A4E7AA07E13BAB87"/>
    <w:rsid w:val="00002136"/>
  </w:style>
  <w:style w:type="paragraph" w:customStyle="1" w:styleId="EA3FCE810026491096B0C2D9D701F7B9">
    <w:name w:val="EA3FCE810026491096B0C2D9D701F7B9"/>
    <w:rsid w:val="00002136"/>
  </w:style>
  <w:style w:type="paragraph" w:customStyle="1" w:styleId="E26A47993C7446E99662BDD11DAA66F4">
    <w:name w:val="E26A47993C7446E99662BDD11DAA66F4"/>
    <w:rsid w:val="00F25DE6"/>
    <w:pPr>
      <w:autoSpaceDE w:val="0"/>
      <w:autoSpaceDN w:val="0"/>
      <w:adjustRightInd w:val="0"/>
      <w:spacing w:before="120" w:after="120" w:line="300" w:lineRule="auto"/>
    </w:pPr>
    <w:rPr>
      <w:rFonts w:ascii="Calibri" w:hAnsi="Calibri" w:cs="Calibri"/>
      <w:i/>
      <w:iCs/>
      <w:color w:val="4472C4" w:themeColor="accent1"/>
      <w:lang w:val="en-US" w:eastAsia="en-US"/>
    </w:rPr>
  </w:style>
  <w:style w:type="paragraph" w:customStyle="1" w:styleId="705F835CFC4F4E6CB9B1CDE9B419A5AE">
    <w:name w:val="705F835CFC4F4E6CB9B1CDE9B419A5AE"/>
    <w:rsid w:val="00002136"/>
  </w:style>
  <w:style w:type="paragraph" w:customStyle="1" w:styleId="78E498E33CDA4AC8B0DB20663C7B579E">
    <w:name w:val="78E498E33CDA4AC8B0DB20663C7B579E"/>
    <w:rsid w:val="00002136"/>
  </w:style>
  <w:style w:type="paragraph" w:customStyle="1" w:styleId="D63D8149DDFE4BBC872384B8ED3D3CBE">
    <w:name w:val="D63D8149DDFE4BBC872384B8ED3D3CBE"/>
    <w:rsid w:val="00002136"/>
  </w:style>
  <w:style w:type="paragraph" w:customStyle="1" w:styleId="CDA1E7F53C7F42FE878DBF20B2462AA3">
    <w:name w:val="CDA1E7F53C7F42FE878DBF20B2462AA3"/>
    <w:rsid w:val="00F25DE6"/>
  </w:style>
  <w:style w:type="paragraph" w:customStyle="1" w:styleId="2E75E9A6D54946B1BEC33734656C1250">
    <w:name w:val="2E75E9A6D54946B1BEC33734656C1250"/>
    <w:rsid w:val="00F25DE6"/>
  </w:style>
  <w:style w:type="paragraph" w:customStyle="1" w:styleId="59F02525C5114FD6819EA8F700E23F9A">
    <w:name w:val="59F02525C5114FD6819EA8F700E23F9A"/>
    <w:rsid w:val="00F25DE6"/>
  </w:style>
  <w:style w:type="paragraph" w:customStyle="1" w:styleId="7DF7487CB2954851979148C81E276C9F">
    <w:name w:val="7DF7487CB2954851979148C81E276C9F"/>
    <w:rsid w:val="00F25DE6"/>
  </w:style>
  <w:style w:type="paragraph" w:customStyle="1" w:styleId="D849030EADBE41E5A42AA8C8B7F29FB3">
    <w:name w:val="D849030EADBE41E5A42AA8C8B7F29FB3"/>
    <w:rsid w:val="00F25DE6"/>
  </w:style>
  <w:style w:type="paragraph" w:customStyle="1" w:styleId="4985E4BC048C41A3A094967BA2E3ACA9">
    <w:name w:val="4985E4BC048C41A3A094967BA2E3ACA9"/>
    <w:rsid w:val="00F25DE6"/>
  </w:style>
  <w:style w:type="paragraph" w:customStyle="1" w:styleId="737BDB2222EA42EE833B602082DCFFBD">
    <w:name w:val="737BDB2222EA42EE833B602082DCFFBD"/>
    <w:rsid w:val="00F25DE6"/>
  </w:style>
  <w:style w:type="paragraph" w:customStyle="1" w:styleId="3F5103AD61074C2DB5C25D4614AF6075">
    <w:name w:val="3F5103AD61074C2DB5C25D4614AF6075"/>
    <w:rsid w:val="00002136"/>
  </w:style>
  <w:style w:type="paragraph" w:customStyle="1" w:styleId="E636FA5215A64E82B41687AEF7B1FDBE">
    <w:name w:val="E636FA5215A64E82B41687AEF7B1FDBE"/>
    <w:rsid w:val="00002136"/>
  </w:style>
  <w:style w:type="paragraph" w:customStyle="1" w:styleId="DCAF7D7286F346E8A6EAE4AB12EFF95D">
    <w:name w:val="DCAF7D7286F346E8A6EAE4AB12EFF95D"/>
    <w:rsid w:val="00002136"/>
  </w:style>
  <w:style w:type="paragraph" w:customStyle="1" w:styleId="0B5D3137674741178F8AA5CBE4246DCB">
    <w:name w:val="0B5D3137674741178F8AA5CBE4246DCB"/>
    <w:rsid w:val="00002136"/>
  </w:style>
  <w:style w:type="paragraph" w:customStyle="1" w:styleId="1EA785AAB9494C1AB47C81C3BFD5B615">
    <w:name w:val="1EA785AAB9494C1AB47C81C3BFD5B615"/>
    <w:rsid w:val="00002136"/>
  </w:style>
  <w:style w:type="paragraph" w:customStyle="1" w:styleId="8AD5B32658854348A6664279E9B3873B">
    <w:name w:val="8AD5B32658854348A6664279E9B3873B"/>
    <w:rsid w:val="00002136"/>
  </w:style>
  <w:style w:type="paragraph" w:customStyle="1" w:styleId="E0A22557491149C7AFA209FB9E648573">
    <w:name w:val="E0A22557491149C7AFA209FB9E648573"/>
    <w:rsid w:val="00002136"/>
  </w:style>
  <w:style w:type="paragraph" w:customStyle="1" w:styleId="3BEA9426A9584648AF809842BC823749">
    <w:name w:val="3BEA9426A9584648AF809842BC823749"/>
    <w:rsid w:val="00002136"/>
  </w:style>
  <w:style w:type="paragraph" w:customStyle="1" w:styleId="57195379E2BD4D158CA2A21ADCE58AAA">
    <w:name w:val="57195379E2BD4D158CA2A21ADCE58AAA"/>
    <w:rsid w:val="00002136"/>
  </w:style>
  <w:style w:type="paragraph" w:customStyle="1" w:styleId="90E7BD1F625340C6AC3C13326435B34D">
    <w:name w:val="90E7BD1F625340C6AC3C13326435B34D"/>
    <w:rsid w:val="00002136"/>
  </w:style>
  <w:style w:type="paragraph" w:customStyle="1" w:styleId="F1695EDA5CEF4A60BE5CBE5F194B55E3">
    <w:name w:val="F1695EDA5CEF4A60BE5CBE5F194B55E3"/>
    <w:rsid w:val="00002136"/>
  </w:style>
  <w:style w:type="paragraph" w:customStyle="1" w:styleId="FC90AEB02F964D2E84AA06A709C473B6">
    <w:name w:val="FC90AEB02F964D2E84AA06A709C473B6"/>
    <w:rsid w:val="00002136"/>
  </w:style>
  <w:style w:type="paragraph" w:customStyle="1" w:styleId="4C392A151B7147108A53740F4082D31A">
    <w:name w:val="4C392A151B7147108A53740F4082D31A"/>
    <w:rsid w:val="00002136"/>
  </w:style>
  <w:style w:type="paragraph" w:customStyle="1" w:styleId="6F03FE61F89C474F9F5EED2223B7899A">
    <w:name w:val="6F03FE61F89C474F9F5EED2223B7899A"/>
    <w:rsid w:val="00002136"/>
  </w:style>
  <w:style w:type="paragraph" w:customStyle="1" w:styleId="593FD7FFB95544FC9A880493531B44E2">
    <w:name w:val="593FD7FFB95544FC9A880493531B44E2"/>
    <w:rsid w:val="00002136"/>
  </w:style>
  <w:style w:type="paragraph" w:customStyle="1" w:styleId="A6100E3C4F244464BDDF536F2B0BC65D">
    <w:name w:val="A6100E3C4F244464BDDF536F2B0BC65D"/>
    <w:rsid w:val="00002136"/>
  </w:style>
  <w:style w:type="paragraph" w:customStyle="1" w:styleId="7D41872FDF24422683E2CAA611FFE627">
    <w:name w:val="7D41872FDF24422683E2CAA611FFE627"/>
    <w:rsid w:val="00002136"/>
  </w:style>
  <w:style w:type="paragraph" w:customStyle="1" w:styleId="8D08259789A24EBE924CEBEFD9470FE5">
    <w:name w:val="8D08259789A24EBE924CEBEFD9470FE5"/>
    <w:rsid w:val="00002136"/>
  </w:style>
  <w:style w:type="paragraph" w:customStyle="1" w:styleId="3555CA63344D4D3EB3FD2FB774568538">
    <w:name w:val="3555CA63344D4D3EB3FD2FB774568538"/>
    <w:rsid w:val="00002136"/>
  </w:style>
  <w:style w:type="paragraph" w:customStyle="1" w:styleId="B152867321044BD7916F5E64787D6304">
    <w:name w:val="B152867321044BD7916F5E64787D6304"/>
    <w:rsid w:val="00002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Ken Teng</cp:lastModifiedBy>
  <cp:revision>3</cp:revision>
  <dcterms:created xsi:type="dcterms:W3CDTF">2025-08-17T10:36:00Z</dcterms:created>
  <dcterms:modified xsi:type="dcterms:W3CDTF">2025-08-17T10:55:00Z</dcterms:modified>
  <cp:category/>
</cp:coreProperties>
</file>