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91E9" w14:textId="26E0EC15" w:rsidR="006E6FB5" w:rsidRPr="00EF3B18" w:rsidRDefault="006E6FB5" w:rsidP="00210A4F">
      <w:pPr>
        <w:spacing w:before="120" w:after="120" w:line="240" w:lineRule="auto"/>
        <w:jc w:val="center"/>
        <w:rPr>
          <w:rFonts w:ascii="Calibri" w:eastAsia="Batang" w:hAnsi="Calibri" w:cs="Calibri"/>
          <w:b/>
          <w:u w:val="single"/>
          <w:lang w:val="en-US" w:eastAsia="ko-KR"/>
        </w:rPr>
      </w:pPr>
    </w:p>
    <w:p w14:paraId="3CF41C0C" w14:textId="77777777" w:rsidR="008E1A50" w:rsidRPr="00EF3B18" w:rsidRDefault="008E1A50" w:rsidP="00210A4F">
      <w:pPr>
        <w:spacing w:before="120" w:after="120" w:line="240" w:lineRule="auto"/>
        <w:jc w:val="center"/>
        <w:rPr>
          <w:rFonts w:ascii="Calibri" w:eastAsia="Batang" w:hAnsi="Calibri" w:cs="Calibri"/>
          <w:b/>
          <w:u w:val="single"/>
          <w:lang w:val="en-US" w:eastAsia="ko-KR"/>
        </w:rPr>
      </w:pPr>
    </w:p>
    <w:p w14:paraId="7BE4DEC9" w14:textId="77777777" w:rsidR="008E1A50" w:rsidRPr="00EF3B18" w:rsidRDefault="008E1A50" w:rsidP="00210A4F">
      <w:pPr>
        <w:spacing w:before="120" w:after="120" w:line="240" w:lineRule="auto"/>
        <w:jc w:val="center"/>
        <w:rPr>
          <w:rFonts w:ascii="Calibri" w:eastAsia="Batang" w:hAnsi="Calibri" w:cs="Calibri"/>
          <w:b/>
          <w:u w:val="single"/>
          <w:lang w:val="en-US" w:eastAsia="ko-KR"/>
        </w:rPr>
      </w:pPr>
    </w:p>
    <w:p w14:paraId="2AD6F0D9" w14:textId="56BF1B8A" w:rsidR="00332034" w:rsidRPr="00EF3B18" w:rsidRDefault="000271F9" w:rsidP="00B33746">
      <w:pPr>
        <w:spacing w:before="120" w:after="120" w:line="240" w:lineRule="auto"/>
        <w:jc w:val="center"/>
        <w:rPr>
          <w:rFonts w:ascii="Calibri" w:eastAsia="Batang" w:hAnsi="Calibri" w:cs="Calibri"/>
          <w:b/>
          <w:color w:val="5F497A" w:themeColor="accent4" w:themeShade="BF"/>
          <w:sz w:val="24"/>
          <w:szCs w:val="24"/>
          <w:u w:val="single"/>
          <w:lang w:val="en-US" w:eastAsia="ko-KR"/>
        </w:rPr>
      </w:pPr>
      <w:r w:rsidRPr="00EF3B18">
        <w:rPr>
          <w:rFonts w:ascii="Calibri" w:eastAsia="Batang" w:hAnsi="Calibri" w:cs="Calibri"/>
          <w:b/>
          <w:color w:val="C00000"/>
          <w:sz w:val="40"/>
          <w:szCs w:val="40"/>
          <w:lang w:val="en-US" w:eastAsia="ko-KR"/>
        </w:rPr>
        <w:t>Board of Trustees</w:t>
      </w:r>
    </w:p>
    <w:p w14:paraId="415357AD" w14:textId="77777777" w:rsidR="004C1384" w:rsidRPr="00EF3B18" w:rsidRDefault="004C1384" w:rsidP="00210A4F">
      <w:pPr>
        <w:spacing w:before="120" w:after="120" w:line="240" w:lineRule="auto"/>
        <w:jc w:val="center"/>
        <w:rPr>
          <w:rFonts w:ascii="Calibri" w:eastAsia="Batang" w:hAnsi="Calibri" w:cs="Calibri"/>
          <w:b/>
          <w:color w:val="002060"/>
          <w:sz w:val="36"/>
          <w:szCs w:val="36"/>
          <w:lang w:val="en-US" w:eastAsia="ko-KR"/>
        </w:rPr>
      </w:pPr>
    </w:p>
    <w:p w14:paraId="4DB75A9D" w14:textId="597B78F4" w:rsidR="00F24042" w:rsidRPr="00EF3B18" w:rsidRDefault="00F24042" w:rsidP="00210A4F">
      <w:pPr>
        <w:spacing w:before="120" w:after="120" w:line="240" w:lineRule="auto"/>
        <w:jc w:val="center"/>
        <w:rPr>
          <w:rFonts w:ascii="Calibri" w:eastAsia="Batang" w:hAnsi="Calibri" w:cs="Calibri"/>
          <w:b/>
          <w:sz w:val="36"/>
          <w:szCs w:val="36"/>
          <w:lang w:val="en-US" w:eastAsia="ko-KR"/>
        </w:rPr>
      </w:pPr>
      <w:r w:rsidRPr="00EF3B18">
        <w:rPr>
          <w:rFonts w:ascii="Calibri" w:eastAsia="Batang" w:hAnsi="Calibri" w:cs="Calibri"/>
          <w:b/>
          <w:sz w:val="36"/>
          <w:szCs w:val="36"/>
          <w:lang w:val="en-US" w:eastAsia="ko-KR"/>
        </w:rPr>
        <w:t>Terms of Reference</w:t>
      </w:r>
    </w:p>
    <w:p w14:paraId="25752313" w14:textId="77777777" w:rsidR="00A9238E" w:rsidRPr="00EF3B18" w:rsidRDefault="00A9238E" w:rsidP="00210A4F">
      <w:pPr>
        <w:spacing w:before="120" w:after="120" w:line="240" w:lineRule="auto"/>
        <w:jc w:val="center"/>
        <w:rPr>
          <w:rFonts w:ascii="Calibri" w:eastAsia="Batang" w:hAnsi="Calibri" w:cs="Calibri"/>
          <w:b/>
          <w:color w:val="002060"/>
          <w:sz w:val="36"/>
          <w:szCs w:val="36"/>
          <w:lang w:val="en-US" w:eastAsia="ko-KR"/>
        </w:rPr>
      </w:pPr>
    </w:p>
    <w:p w14:paraId="116F2BF4" w14:textId="77777777" w:rsidR="00F27C67" w:rsidRPr="00EF3B18" w:rsidRDefault="00F27C67" w:rsidP="008B4160">
      <w:pPr>
        <w:spacing w:before="120" w:after="120" w:line="240" w:lineRule="auto"/>
        <w:rPr>
          <w:rFonts w:ascii="Calibri" w:eastAsia="Batang" w:hAnsi="Calibri" w:cs="Calibri"/>
          <w:b/>
          <w:color w:val="808080" w:themeColor="background1" w:themeShade="80"/>
          <w:sz w:val="24"/>
          <w:szCs w:val="24"/>
          <w:lang w:val="en-US" w:eastAsia="ko-KR"/>
        </w:rPr>
      </w:pPr>
    </w:p>
    <w:p w14:paraId="57D6A626" w14:textId="33601A81" w:rsidR="002C527B" w:rsidRPr="00EF3B18" w:rsidRDefault="002C527B">
      <w:pPr>
        <w:rPr>
          <w:rFonts w:ascii="Calibri" w:eastAsia="Batang" w:hAnsi="Calibri" w:cs="Calibri"/>
          <w:b/>
          <w:color w:val="002060"/>
          <w:sz w:val="36"/>
          <w:szCs w:val="36"/>
          <w:lang w:val="en-US" w:eastAsia="ko-KR"/>
        </w:rPr>
      </w:pPr>
    </w:p>
    <w:p w14:paraId="040AC584" w14:textId="7F7AD36C" w:rsidR="002C527B" w:rsidRPr="00EF3B18" w:rsidRDefault="002C527B" w:rsidP="002C527B">
      <w:pPr>
        <w:tabs>
          <w:tab w:val="center" w:pos="4513"/>
        </w:tabs>
        <w:jc w:val="center"/>
        <w:rPr>
          <w:rFonts w:ascii="Calibri" w:eastAsia="Batang" w:hAnsi="Calibri" w:cs="Calibri"/>
          <w:sz w:val="36"/>
          <w:szCs w:val="36"/>
          <w:lang w:val="en-US" w:eastAsia="ko-KR"/>
        </w:rPr>
        <w:sectPr w:rsidR="002C527B" w:rsidRPr="00EF3B18" w:rsidSect="002C527B">
          <w:headerReference w:type="even" r:id="rId8"/>
          <w:headerReference w:type="default" r:id="rId9"/>
          <w:headerReference w:type="first" r:id="rId10"/>
          <w:pgSz w:w="11906" w:h="16838"/>
          <w:pgMar w:top="1440" w:right="1440" w:bottom="1440" w:left="1440" w:header="708" w:footer="708" w:gutter="0"/>
          <w:cols w:space="708"/>
          <w:docGrid w:linePitch="360"/>
        </w:sectPr>
      </w:pPr>
    </w:p>
    <w:p w14:paraId="08E58775" w14:textId="5BAFD853" w:rsidR="002C527B" w:rsidRPr="00EF3B18" w:rsidRDefault="002C527B" w:rsidP="002C527B">
      <w:pPr>
        <w:jc w:val="center"/>
        <w:rPr>
          <w:rFonts w:ascii="Calibri" w:eastAsia="Batang" w:hAnsi="Calibri" w:cs="Calibri"/>
          <w:sz w:val="36"/>
          <w:szCs w:val="36"/>
          <w:lang w:val="en-US" w:eastAsia="ko-KR"/>
        </w:rPr>
      </w:pPr>
    </w:p>
    <w:sdt>
      <w:sdtPr>
        <w:rPr>
          <w:rFonts w:ascii="Calibri" w:eastAsiaTheme="minorHAnsi" w:hAnsi="Calibri" w:cs="Calibri"/>
          <w:b w:val="0"/>
          <w:color w:val="7030A0"/>
          <w:sz w:val="28"/>
          <w:szCs w:val="28"/>
          <w:lang w:val="en-GB"/>
        </w:rPr>
        <w:id w:val="-972744003"/>
        <w:docPartObj>
          <w:docPartGallery w:val="Table of Contents"/>
          <w:docPartUnique/>
        </w:docPartObj>
      </w:sdtPr>
      <w:sdtEndPr>
        <w:rPr>
          <w:bCs/>
          <w:noProof/>
          <w:color w:val="auto"/>
          <w:sz w:val="22"/>
          <w:szCs w:val="22"/>
        </w:rPr>
      </w:sdtEndPr>
      <w:sdtContent>
        <w:p w14:paraId="5FCF43C5" w14:textId="3DD38FEE" w:rsidR="00E12ECD" w:rsidRPr="00EF3B18" w:rsidRDefault="00E12ECD" w:rsidP="00B33746">
          <w:pPr>
            <w:pStyle w:val="TOCHeading"/>
            <w:spacing w:line="480" w:lineRule="auto"/>
            <w:rPr>
              <w:rStyle w:val="Heading1Char"/>
              <w:rFonts w:ascii="Calibri" w:hAnsi="Calibri" w:cs="Calibri"/>
              <w:b/>
              <w:color w:val="7030A0"/>
              <w:sz w:val="28"/>
              <w:szCs w:val="28"/>
            </w:rPr>
          </w:pPr>
          <w:r w:rsidRPr="00EF3B18">
            <w:rPr>
              <w:rStyle w:val="Heading1Char"/>
              <w:rFonts w:ascii="Calibri" w:hAnsi="Calibri" w:cs="Calibri"/>
              <w:b/>
              <w:color w:val="7030A0"/>
              <w:sz w:val="28"/>
              <w:szCs w:val="28"/>
            </w:rPr>
            <w:t>Contents</w:t>
          </w:r>
        </w:p>
        <w:p w14:paraId="64FAB23D" w14:textId="3346BDD7" w:rsidR="00F454EF" w:rsidRPr="00EF3B18" w:rsidRDefault="00E12ECD">
          <w:pPr>
            <w:pStyle w:val="TOC1"/>
            <w:rPr>
              <w:rFonts w:ascii="Calibri" w:eastAsiaTheme="minorEastAsia" w:hAnsi="Calibri" w:cs="Calibri"/>
              <w:b w:val="0"/>
              <w:sz w:val="24"/>
              <w:szCs w:val="24"/>
              <w:lang w:val="en-CA" w:eastAsia="zh-CN"/>
            </w:rPr>
          </w:pPr>
          <w:r w:rsidRPr="00EF3B18">
            <w:rPr>
              <w:rFonts w:ascii="Calibri" w:hAnsi="Calibri" w:cs="Calibri"/>
            </w:rPr>
            <w:fldChar w:fldCharType="begin"/>
          </w:r>
          <w:r w:rsidRPr="00EF3B18">
            <w:rPr>
              <w:rFonts w:ascii="Calibri" w:hAnsi="Calibri" w:cs="Calibri"/>
            </w:rPr>
            <w:instrText xml:space="preserve"> TOC \o "1-3" \h \z \u </w:instrText>
          </w:r>
          <w:r w:rsidRPr="00EF3B18">
            <w:rPr>
              <w:rFonts w:ascii="Calibri" w:hAnsi="Calibri" w:cs="Calibri"/>
            </w:rPr>
            <w:fldChar w:fldCharType="separate"/>
          </w:r>
          <w:hyperlink w:anchor="_Toc76515491" w:history="1">
            <w:r w:rsidR="00F454EF" w:rsidRPr="00EF3B18">
              <w:rPr>
                <w:rStyle w:val="Hyperlink"/>
                <w:rFonts w:ascii="Calibri" w:hAnsi="Calibri" w:cs="Calibri"/>
              </w:rPr>
              <w:t>1.</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Background</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_Toc76515491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3</w:t>
            </w:r>
            <w:r w:rsidR="00F454EF" w:rsidRPr="00EF3B18">
              <w:rPr>
                <w:rFonts w:ascii="Calibri" w:hAnsi="Calibri" w:cs="Calibri"/>
                <w:webHidden/>
              </w:rPr>
              <w:fldChar w:fldCharType="end"/>
            </w:r>
          </w:hyperlink>
        </w:p>
        <w:p w14:paraId="0094C899" w14:textId="13FDD703" w:rsidR="00F454EF" w:rsidRPr="00EF3B18" w:rsidRDefault="00000000">
          <w:pPr>
            <w:pStyle w:val="TOC1"/>
            <w:rPr>
              <w:rFonts w:ascii="Calibri" w:eastAsiaTheme="minorEastAsia" w:hAnsi="Calibri" w:cs="Calibri"/>
              <w:b w:val="0"/>
              <w:sz w:val="24"/>
              <w:szCs w:val="24"/>
              <w:lang w:val="en-CA" w:eastAsia="zh-CN"/>
            </w:rPr>
          </w:pPr>
          <w:hyperlink w:anchor="_Toc76515492" w:history="1">
            <w:r w:rsidR="00F454EF" w:rsidRPr="00EF3B18">
              <w:rPr>
                <w:rStyle w:val="Hyperlink"/>
                <w:rFonts w:ascii="Calibri" w:hAnsi="Calibri" w:cs="Calibri"/>
              </w:rPr>
              <w:t>2.</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Scope and Mandate of the Board of Trustees</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_Toc76515492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3</w:t>
            </w:r>
            <w:r w:rsidR="00F454EF" w:rsidRPr="00EF3B18">
              <w:rPr>
                <w:rFonts w:ascii="Calibri" w:hAnsi="Calibri" w:cs="Calibri"/>
                <w:webHidden/>
              </w:rPr>
              <w:fldChar w:fldCharType="end"/>
            </w:r>
          </w:hyperlink>
        </w:p>
        <w:p w14:paraId="66E0416A" w14:textId="3156AEF3" w:rsidR="00F454EF" w:rsidRPr="00EF3B18" w:rsidRDefault="00000000">
          <w:pPr>
            <w:pStyle w:val="TOC1"/>
            <w:rPr>
              <w:rFonts w:ascii="Calibri" w:eastAsiaTheme="minorEastAsia" w:hAnsi="Calibri" w:cs="Calibri"/>
              <w:b w:val="0"/>
              <w:sz w:val="24"/>
              <w:szCs w:val="24"/>
              <w:lang w:val="en-CA" w:eastAsia="zh-CN"/>
            </w:rPr>
          </w:pPr>
          <w:hyperlink w:anchor="_Toc76515493" w:history="1">
            <w:r w:rsidR="00F454EF" w:rsidRPr="00EF3B18">
              <w:rPr>
                <w:rStyle w:val="Hyperlink"/>
                <w:rFonts w:ascii="Calibri" w:hAnsi="Calibri" w:cs="Calibri"/>
              </w:rPr>
              <w:t>3.</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Membership</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_Toc76515493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4</w:t>
            </w:r>
            <w:r w:rsidR="00F454EF" w:rsidRPr="00EF3B18">
              <w:rPr>
                <w:rFonts w:ascii="Calibri" w:hAnsi="Calibri" w:cs="Calibri"/>
                <w:webHidden/>
              </w:rPr>
              <w:fldChar w:fldCharType="end"/>
            </w:r>
          </w:hyperlink>
        </w:p>
        <w:p w14:paraId="443A6350" w14:textId="2069B0FD" w:rsidR="00F454EF" w:rsidRPr="00EF3B18" w:rsidRDefault="00000000">
          <w:pPr>
            <w:pStyle w:val="TOC1"/>
            <w:rPr>
              <w:rFonts w:ascii="Calibri" w:eastAsiaTheme="minorEastAsia" w:hAnsi="Calibri" w:cs="Calibri"/>
              <w:b w:val="0"/>
              <w:sz w:val="24"/>
              <w:szCs w:val="24"/>
              <w:lang w:val="en-CA" w:eastAsia="zh-CN"/>
            </w:rPr>
          </w:pPr>
          <w:hyperlink w:anchor="_Toc76515494" w:history="1">
            <w:r w:rsidR="00F454EF" w:rsidRPr="00EF3B18">
              <w:rPr>
                <w:rStyle w:val="Hyperlink"/>
                <w:rFonts w:ascii="Calibri" w:hAnsi="Calibri" w:cs="Calibri"/>
              </w:rPr>
              <w:t>4.</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Operations and Chairing of the BoT</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_Toc76515494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4</w:t>
            </w:r>
            <w:r w:rsidR="00F454EF" w:rsidRPr="00EF3B18">
              <w:rPr>
                <w:rFonts w:ascii="Calibri" w:hAnsi="Calibri" w:cs="Calibri"/>
                <w:webHidden/>
              </w:rPr>
              <w:fldChar w:fldCharType="end"/>
            </w:r>
          </w:hyperlink>
        </w:p>
        <w:p w14:paraId="0F00D745" w14:textId="5BBACA9A" w:rsidR="00F454EF" w:rsidRPr="00EF3B18" w:rsidRDefault="00000000">
          <w:pPr>
            <w:pStyle w:val="TOC1"/>
            <w:rPr>
              <w:rFonts w:ascii="Calibri" w:eastAsiaTheme="minorEastAsia" w:hAnsi="Calibri" w:cs="Calibri"/>
              <w:b w:val="0"/>
              <w:sz w:val="24"/>
              <w:szCs w:val="24"/>
              <w:lang w:val="en-CA" w:eastAsia="zh-CN"/>
            </w:rPr>
          </w:pPr>
          <w:hyperlink w:anchor="_Toc76515495" w:history="1">
            <w:r w:rsidR="00F454EF" w:rsidRPr="00EF3B18">
              <w:rPr>
                <w:rStyle w:val="Hyperlink"/>
                <w:rFonts w:ascii="Calibri" w:hAnsi="Calibri" w:cs="Calibri"/>
              </w:rPr>
              <w:t>5.</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Meetings of the BoT</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_Toc76515495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5</w:t>
            </w:r>
            <w:r w:rsidR="00F454EF" w:rsidRPr="00EF3B18">
              <w:rPr>
                <w:rFonts w:ascii="Calibri" w:hAnsi="Calibri" w:cs="Calibri"/>
                <w:webHidden/>
              </w:rPr>
              <w:fldChar w:fldCharType="end"/>
            </w:r>
          </w:hyperlink>
        </w:p>
        <w:p w14:paraId="2E4F386D" w14:textId="5647292E" w:rsidR="00F454EF" w:rsidRPr="00EF3B18" w:rsidRDefault="00000000">
          <w:pPr>
            <w:pStyle w:val="TOC1"/>
            <w:rPr>
              <w:rFonts w:ascii="Calibri" w:eastAsiaTheme="minorEastAsia" w:hAnsi="Calibri" w:cs="Calibri"/>
              <w:b w:val="0"/>
              <w:sz w:val="24"/>
              <w:szCs w:val="24"/>
              <w:lang w:val="en-CA" w:eastAsia="zh-CN"/>
            </w:rPr>
          </w:pPr>
          <w:hyperlink w:anchor="_Toc76515496" w:history="1">
            <w:r w:rsidR="00F454EF" w:rsidRPr="00EF3B18">
              <w:rPr>
                <w:rStyle w:val="Hyperlink"/>
                <w:rFonts w:ascii="Calibri" w:hAnsi="Calibri" w:cs="Calibri"/>
              </w:rPr>
              <w:t>6.</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Subcommittees of the BoT</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_Toc76515496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5</w:t>
            </w:r>
            <w:r w:rsidR="00F454EF" w:rsidRPr="00EF3B18">
              <w:rPr>
                <w:rFonts w:ascii="Calibri" w:hAnsi="Calibri" w:cs="Calibri"/>
                <w:webHidden/>
              </w:rPr>
              <w:fldChar w:fldCharType="end"/>
            </w:r>
          </w:hyperlink>
        </w:p>
        <w:p w14:paraId="30347694" w14:textId="67ECD83D" w:rsidR="00F454EF" w:rsidRPr="00EF3B18" w:rsidRDefault="00000000">
          <w:pPr>
            <w:pStyle w:val="TOC1"/>
            <w:rPr>
              <w:rFonts w:ascii="Calibri" w:eastAsiaTheme="minorEastAsia" w:hAnsi="Calibri" w:cs="Calibri"/>
              <w:b w:val="0"/>
              <w:sz w:val="24"/>
              <w:szCs w:val="24"/>
              <w:lang w:val="en-CA" w:eastAsia="zh-CN"/>
            </w:rPr>
          </w:pPr>
          <w:hyperlink w:anchor="_Toc76515497" w:history="1">
            <w:r w:rsidR="00F454EF" w:rsidRPr="00EF3B18">
              <w:rPr>
                <w:rStyle w:val="Hyperlink"/>
                <w:rFonts w:ascii="Calibri" w:hAnsi="Calibri" w:cs="Calibri"/>
              </w:rPr>
              <w:t>7.</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Technical and Financial Resources</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_Toc76515497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6</w:t>
            </w:r>
            <w:r w:rsidR="00F454EF" w:rsidRPr="00EF3B18">
              <w:rPr>
                <w:rFonts w:ascii="Calibri" w:hAnsi="Calibri" w:cs="Calibri"/>
                <w:webHidden/>
              </w:rPr>
              <w:fldChar w:fldCharType="end"/>
            </w:r>
          </w:hyperlink>
        </w:p>
        <w:p w14:paraId="67B5E275" w14:textId="6F747455" w:rsidR="00F454EF" w:rsidRPr="00EF3B18" w:rsidRDefault="00000000">
          <w:pPr>
            <w:pStyle w:val="TOC1"/>
            <w:rPr>
              <w:rFonts w:ascii="Calibri" w:eastAsiaTheme="minorEastAsia" w:hAnsi="Calibri" w:cs="Calibri"/>
              <w:b w:val="0"/>
              <w:sz w:val="24"/>
              <w:szCs w:val="24"/>
              <w:lang w:val="en-CA" w:eastAsia="zh-CN"/>
            </w:rPr>
          </w:pPr>
          <w:hyperlink w:anchor="_Toc76515498" w:history="1">
            <w:r w:rsidR="00F454EF" w:rsidRPr="00EF3B18">
              <w:rPr>
                <w:rStyle w:val="Hyperlink"/>
                <w:rFonts w:ascii="Calibri" w:hAnsi="Calibri" w:cs="Calibri"/>
              </w:rPr>
              <w:t>8.</w:t>
            </w:r>
            <w:r w:rsidR="00F454EF" w:rsidRPr="00EF3B18">
              <w:rPr>
                <w:rFonts w:ascii="Calibri" w:eastAsiaTheme="minorEastAsia" w:hAnsi="Calibri" w:cs="Calibri"/>
                <w:b w:val="0"/>
                <w:sz w:val="24"/>
                <w:szCs w:val="24"/>
                <w:lang w:val="en-CA" w:eastAsia="zh-CN"/>
              </w:rPr>
              <w:tab/>
            </w:r>
            <w:r w:rsidR="00F454EF" w:rsidRPr="00EF3B18">
              <w:rPr>
                <w:rStyle w:val="Hyperlink"/>
                <w:rFonts w:ascii="Calibri" w:hAnsi="Calibri" w:cs="Calibri"/>
              </w:rPr>
              <w:t>Commitment to Transparency</w:t>
            </w:r>
            <w:r w:rsidR="00F454EF" w:rsidRPr="00EF3B18">
              <w:rPr>
                <w:rFonts w:ascii="Calibri" w:hAnsi="Calibri" w:cs="Calibri"/>
                <w:webHidden/>
              </w:rPr>
              <w:tab/>
            </w:r>
            <w:r w:rsidR="00F454EF" w:rsidRPr="00EF3B18">
              <w:rPr>
                <w:rFonts w:ascii="Calibri" w:hAnsi="Calibri" w:cs="Calibri"/>
                <w:webHidden/>
              </w:rPr>
              <w:fldChar w:fldCharType="begin"/>
            </w:r>
            <w:r w:rsidR="00F454EF" w:rsidRPr="00EF3B18">
              <w:rPr>
                <w:rFonts w:ascii="Calibri" w:hAnsi="Calibri" w:cs="Calibri"/>
                <w:webHidden/>
              </w:rPr>
              <w:instrText xml:space="preserve"> PAGEREF _Toc76515498 \h </w:instrText>
            </w:r>
            <w:r w:rsidR="00F454EF" w:rsidRPr="00EF3B18">
              <w:rPr>
                <w:rFonts w:ascii="Calibri" w:hAnsi="Calibri" w:cs="Calibri"/>
                <w:webHidden/>
              </w:rPr>
            </w:r>
            <w:r w:rsidR="00F454EF" w:rsidRPr="00EF3B18">
              <w:rPr>
                <w:rFonts w:ascii="Calibri" w:hAnsi="Calibri" w:cs="Calibri"/>
                <w:webHidden/>
              </w:rPr>
              <w:fldChar w:fldCharType="separate"/>
            </w:r>
            <w:r w:rsidR="00F454EF" w:rsidRPr="00EF3B18">
              <w:rPr>
                <w:rFonts w:ascii="Calibri" w:hAnsi="Calibri" w:cs="Calibri"/>
                <w:webHidden/>
              </w:rPr>
              <w:t>6</w:t>
            </w:r>
            <w:r w:rsidR="00F454EF" w:rsidRPr="00EF3B18">
              <w:rPr>
                <w:rFonts w:ascii="Calibri" w:hAnsi="Calibri" w:cs="Calibri"/>
                <w:webHidden/>
              </w:rPr>
              <w:fldChar w:fldCharType="end"/>
            </w:r>
          </w:hyperlink>
        </w:p>
        <w:p w14:paraId="6FBF4314" w14:textId="47BD8269" w:rsidR="00E12ECD" w:rsidRPr="00EF3B18" w:rsidRDefault="00E12ECD" w:rsidP="00B33746">
          <w:pPr>
            <w:spacing w:line="480" w:lineRule="auto"/>
            <w:rPr>
              <w:rFonts w:ascii="Calibri" w:hAnsi="Calibri" w:cs="Calibri"/>
            </w:rPr>
          </w:pPr>
          <w:r w:rsidRPr="00EF3B18">
            <w:rPr>
              <w:rFonts w:ascii="Calibri" w:hAnsi="Calibri" w:cs="Calibri"/>
              <w:b/>
              <w:bCs/>
              <w:noProof/>
            </w:rPr>
            <w:fldChar w:fldCharType="end"/>
          </w:r>
        </w:p>
      </w:sdtContent>
    </w:sdt>
    <w:p w14:paraId="177D53B3" w14:textId="77777777" w:rsidR="00E12ECD" w:rsidRPr="00EF3B18" w:rsidRDefault="00E12ECD" w:rsidP="00394976">
      <w:pPr>
        <w:tabs>
          <w:tab w:val="center" w:pos="4513"/>
        </w:tabs>
        <w:spacing w:after="240" w:line="240" w:lineRule="auto"/>
        <w:rPr>
          <w:rFonts w:ascii="Calibri" w:hAnsi="Calibri" w:cs="Calibri"/>
          <w:b/>
        </w:rPr>
      </w:pPr>
    </w:p>
    <w:p w14:paraId="1D2FA81F" w14:textId="77777777" w:rsidR="002F3221" w:rsidRPr="00EF3B18" w:rsidRDefault="002F3221">
      <w:pPr>
        <w:rPr>
          <w:rFonts w:ascii="Calibri" w:eastAsiaTheme="majorEastAsia" w:hAnsi="Calibri" w:cs="Calibri"/>
          <w:b/>
          <w:szCs w:val="32"/>
        </w:rPr>
      </w:pPr>
      <w:r w:rsidRPr="00EF3B18">
        <w:rPr>
          <w:rFonts w:ascii="Calibri" w:hAnsi="Calibri" w:cs="Calibri"/>
        </w:rPr>
        <w:br w:type="page"/>
      </w:r>
    </w:p>
    <w:p w14:paraId="3E00B033" w14:textId="5B95CEE9" w:rsidR="00394976" w:rsidRPr="00EF3B18" w:rsidRDefault="00394976" w:rsidP="00051F59">
      <w:pPr>
        <w:pStyle w:val="Heading1"/>
        <w:numPr>
          <w:ilvl w:val="0"/>
          <w:numId w:val="20"/>
        </w:numPr>
        <w:spacing w:line="240" w:lineRule="auto"/>
        <w:ind w:left="360"/>
        <w:rPr>
          <w:rFonts w:ascii="Calibri" w:hAnsi="Calibri" w:cs="Calibri"/>
          <w:color w:val="5F497A" w:themeColor="accent4" w:themeShade="BF"/>
          <w:sz w:val="24"/>
          <w:szCs w:val="24"/>
        </w:rPr>
      </w:pPr>
      <w:bookmarkStart w:id="0" w:name="_Toc76515491"/>
      <w:r w:rsidRPr="00EF3B18">
        <w:rPr>
          <w:rFonts w:ascii="Calibri" w:hAnsi="Calibri" w:cs="Calibri"/>
          <w:color w:val="5F497A" w:themeColor="accent4" w:themeShade="BF"/>
          <w:sz w:val="24"/>
          <w:szCs w:val="24"/>
        </w:rPr>
        <w:lastRenderedPageBreak/>
        <w:t>B</w:t>
      </w:r>
      <w:r w:rsidR="00D75908" w:rsidRPr="00EF3B18">
        <w:rPr>
          <w:rFonts w:ascii="Calibri" w:hAnsi="Calibri" w:cs="Calibri"/>
          <w:color w:val="5F497A" w:themeColor="accent4" w:themeShade="BF"/>
          <w:sz w:val="24"/>
          <w:szCs w:val="24"/>
        </w:rPr>
        <w:t>ackground</w:t>
      </w:r>
      <w:bookmarkEnd w:id="0"/>
      <w:r w:rsidRPr="00EF3B18">
        <w:rPr>
          <w:rFonts w:ascii="Calibri" w:hAnsi="Calibri" w:cs="Calibri"/>
          <w:color w:val="5F497A" w:themeColor="accent4" w:themeShade="BF"/>
          <w:sz w:val="24"/>
          <w:szCs w:val="24"/>
        </w:rPr>
        <w:tab/>
      </w:r>
    </w:p>
    <w:p w14:paraId="38D055A9" w14:textId="08FA8955" w:rsidR="000271F9" w:rsidRPr="00EF3B18" w:rsidRDefault="000271F9"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The Government of Suriname has decided to move forward with the creation of a single food safety agency – the “National Food Safety Agency” or NIVS – with the intent to assemble key food safety authorities and to address several limitations observed over time with respect to performance of the food control system, in particular with the operation of and coordination between Surinamese food competent authorities.</w:t>
      </w:r>
    </w:p>
    <w:p w14:paraId="5C7CD7B9" w14:textId="6CA74672" w:rsidR="000271F9" w:rsidRPr="00EF3B18" w:rsidRDefault="000271F9"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The NIVS law was voted into law by the National Parliament of Suriname on 18 December 202</w:t>
      </w:r>
      <w:r w:rsidR="00CF4C4E">
        <w:rPr>
          <w:rFonts w:ascii="Calibri" w:hAnsi="Calibri" w:cs="Calibri"/>
          <w:iCs/>
          <w:lang w:val="en-US"/>
        </w:rPr>
        <w:t>0</w:t>
      </w:r>
      <w:r w:rsidRPr="00EF3B18">
        <w:rPr>
          <w:rFonts w:ascii="Calibri" w:hAnsi="Calibri" w:cs="Calibri"/>
          <w:iCs/>
          <w:lang w:val="en-US"/>
        </w:rPr>
        <w:t xml:space="preserve">, with a unanimous multi-partisan support. </w:t>
      </w:r>
    </w:p>
    <w:p w14:paraId="7AAD3BDC" w14:textId="1E3CFEB3" w:rsidR="000271F9" w:rsidRPr="00EF3B18" w:rsidRDefault="000271F9"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 xml:space="preserve">NIVS </w:t>
      </w:r>
      <w:r w:rsidR="003A2117" w:rsidRPr="00EF3B18">
        <w:rPr>
          <w:rFonts w:ascii="Calibri" w:hAnsi="Calibri" w:cs="Calibri"/>
          <w:iCs/>
          <w:lang w:val="en-US"/>
        </w:rPr>
        <w:t>was</w:t>
      </w:r>
      <w:r w:rsidRPr="00EF3B18">
        <w:rPr>
          <w:rFonts w:ascii="Calibri" w:hAnsi="Calibri" w:cs="Calibri"/>
          <w:iCs/>
          <w:lang w:val="en-US"/>
        </w:rPr>
        <w:t xml:space="preserve"> therefore created with the aim to </w:t>
      </w:r>
    </w:p>
    <w:p w14:paraId="62DE6819" w14:textId="15754719" w:rsidR="000271F9" w:rsidRPr="00EF3B18" w:rsidRDefault="000271F9" w:rsidP="000271F9">
      <w:pPr>
        <w:numPr>
          <w:ilvl w:val="0"/>
          <w:numId w:val="44"/>
        </w:num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Act as the sole and primary food regulator, entrusted with the various food regulatory functions, including standard setting, inspection, compliance verification</w:t>
      </w:r>
      <w:r w:rsidR="003A2117" w:rsidRPr="00EF3B18">
        <w:rPr>
          <w:rFonts w:ascii="Calibri" w:hAnsi="Calibri" w:cs="Calibri"/>
          <w:iCs/>
          <w:lang w:val="en-US"/>
        </w:rPr>
        <w:t xml:space="preserve"> and </w:t>
      </w:r>
      <w:r w:rsidRPr="00EF3B18">
        <w:rPr>
          <w:rFonts w:ascii="Calibri" w:hAnsi="Calibri" w:cs="Calibri"/>
          <w:iCs/>
          <w:lang w:val="en-US"/>
        </w:rPr>
        <w:t>enforcement</w:t>
      </w:r>
      <w:r w:rsidR="0000516E" w:rsidRPr="00EF3B18">
        <w:rPr>
          <w:rFonts w:ascii="Calibri" w:hAnsi="Calibri" w:cs="Calibri"/>
          <w:iCs/>
          <w:lang w:val="en-US"/>
        </w:rPr>
        <w:t xml:space="preserve"> </w:t>
      </w:r>
    </w:p>
    <w:p w14:paraId="094C669F" w14:textId="10EDB190" w:rsidR="000271F9" w:rsidRPr="00EF3B18" w:rsidRDefault="0000516E" w:rsidP="000271F9">
      <w:pPr>
        <w:numPr>
          <w:ilvl w:val="0"/>
          <w:numId w:val="44"/>
        </w:num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 xml:space="preserve">To adopt </w:t>
      </w:r>
      <w:r w:rsidR="000271F9" w:rsidRPr="00EF3B18">
        <w:rPr>
          <w:rFonts w:ascii="Calibri" w:hAnsi="Calibri" w:cs="Calibri"/>
          <w:iCs/>
          <w:lang w:val="en-US"/>
        </w:rPr>
        <w:t>international best practices and more specifically guidance of the Codex Alimentarius Commission</w:t>
      </w:r>
      <w:r w:rsidRPr="00EF3B18">
        <w:rPr>
          <w:rFonts w:ascii="Calibri" w:hAnsi="Calibri" w:cs="Calibri"/>
          <w:iCs/>
          <w:lang w:val="en-US"/>
        </w:rPr>
        <w:t xml:space="preserve"> in designing and deploying it food regulatory programs</w:t>
      </w:r>
    </w:p>
    <w:p w14:paraId="4CFD113D" w14:textId="26134DC9" w:rsidR="000271F9" w:rsidRPr="00EF3B18" w:rsidRDefault="0000516E"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NIVS will be supported by a Governance Structure that will enable its exercising of its mandate, including</w:t>
      </w:r>
      <w:r w:rsidR="00DA1A03" w:rsidRPr="00EF3B18">
        <w:rPr>
          <w:rFonts w:ascii="Calibri" w:hAnsi="Calibri" w:cs="Calibri"/>
          <w:iCs/>
          <w:lang w:val="en-US"/>
        </w:rPr>
        <w:t xml:space="preserve"> a Board of Trustees (</w:t>
      </w:r>
      <w:proofErr w:type="spellStart"/>
      <w:r w:rsidR="00DA1A03" w:rsidRPr="00EF3B18">
        <w:rPr>
          <w:rFonts w:ascii="Calibri" w:hAnsi="Calibri" w:cs="Calibri"/>
          <w:iCs/>
          <w:lang w:val="en-US"/>
        </w:rPr>
        <w:t>BoT</w:t>
      </w:r>
      <w:proofErr w:type="spellEnd"/>
      <w:r w:rsidR="00DA1A03" w:rsidRPr="00EF3B18">
        <w:rPr>
          <w:rFonts w:ascii="Calibri" w:hAnsi="Calibri" w:cs="Calibri"/>
          <w:iCs/>
          <w:lang w:val="en-US"/>
        </w:rPr>
        <w:t>)</w:t>
      </w:r>
    </w:p>
    <w:p w14:paraId="711C07CB" w14:textId="72D76C3B" w:rsidR="00DA1A03" w:rsidRPr="00EF3B18" w:rsidRDefault="00DA1A03"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 xml:space="preserve">This document introduces the terms of reference of the Board of Trustees one of the key committees governing the operations of </w:t>
      </w:r>
      <w:r w:rsidR="00611E8A" w:rsidRPr="00EF3B18">
        <w:rPr>
          <w:rFonts w:ascii="Calibri" w:hAnsi="Calibri" w:cs="Calibri"/>
          <w:iCs/>
          <w:lang w:val="en-US"/>
        </w:rPr>
        <w:t xml:space="preserve">the </w:t>
      </w:r>
      <w:r w:rsidR="000766E3" w:rsidRPr="00EF3B18">
        <w:rPr>
          <w:rFonts w:ascii="Calibri" w:hAnsi="Calibri" w:cs="Calibri"/>
          <w:iCs/>
          <w:lang w:val="en-US"/>
        </w:rPr>
        <w:t xml:space="preserve">NIVS. </w:t>
      </w:r>
    </w:p>
    <w:p w14:paraId="5F632B77" w14:textId="7A875256" w:rsidR="000766E3" w:rsidRPr="00EF3B18" w:rsidRDefault="000766E3" w:rsidP="000271F9">
      <w:pPr>
        <w:tabs>
          <w:tab w:val="left" w:pos="1039"/>
        </w:tabs>
        <w:spacing w:before="120" w:after="0" w:line="240" w:lineRule="auto"/>
        <w:jc w:val="both"/>
        <w:rPr>
          <w:rFonts w:ascii="Calibri" w:hAnsi="Calibri" w:cs="Calibri"/>
          <w:iCs/>
          <w:lang w:val="en-US"/>
        </w:rPr>
      </w:pPr>
    </w:p>
    <w:p w14:paraId="6E41A989" w14:textId="1B9E7CDC" w:rsidR="000766E3" w:rsidRPr="00EF3B18" w:rsidRDefault="000766E3" w:rsidP="000766E3">
      <w:pPr>
        <w:pStyle w:val="Heading1"/>
        <w:numPr>
          <w:ilvl w:val="0"/>
          <w:numId w:val="20"/>
        </w:numPr>
        <w:spacing w:line="240" w:lineRule="auto"/>
        <w:ind w:left="360"/>
        <w:rPr>
          <w:rFonts w:ascii="Calibri" w:hAnsi="Calibri" w:cs="Calibri"/>
          <w:color w:val="5F497A" w:themeColor="accent4" w:themeShade="BF"/>
          <w:sz w:val="24"/>
          <w:szCs w:val="24"/>
        </w:rPr>
      </w:pPr>
      <w:bookmarkStart w:id="1" w:name="_Toc76515492"/>
      <w:r w:rsidRPr="00EF3B18">
        <w:rPr>
          <w:rFonts w:ascii="Calibri" w:hAnsi="Calibri" w:cs="Calibri"/>
          <w:color w:val="5F497A" w:themeColor="accent4" w:themeShade="BF"/>
          <w:sz w:val="24"/>
          <w:szCs w:val="24"/>
        </w:rPr>
        <w:t>Scope and Mandate of the Board of Trustees</w:t>
      </w:r>
      <w:bookmarkEnd w:id="1"/>
    </w:p>
    <w:p w14:paraId="45EF3A55" w14:textId="5A571A2B" w:rsidR="000271F9" w:rsidRPr="00EF3B18" w:rsidRDefault="000766E3"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 xml:space="preserve">The Board of Trustees will act as the main governance body of the NIVS, supporting the appointed Chief Executive Officer (CEO) of NIVS to manage the organization and offering a mechanism of multi stakeholder oversight </w:t>
      </w:r>
      <w:r w:rsidR="00165F9F" w:rsidRPr="00EF3B18">
        <w:rPr>
          <w:rFonts w:ascii="Calibri" w:hAnsi="Calibri" w:cs="Calibri"/>
          <w:iCs/>
          <w:lang w:val="en-US"/>
        </w:rPr>
        <w:t xml:space="preserve">for the organization. </w:t>
      </w:r>
    </w:p>
    <w:p w14:paraId="5A93D37D" w14:textId="051DBD87" w:rsidR="00165F9F" w:rsidRPr="00EF3B18" w:rsidRDefault="00165F9F"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 xml:space="preserve">The mandate of the </w:t>
      </w:r>
      <w:proofErr w:type="spellStart"/>
      <w:r w:rsidRPr="00EF3B18">
        <w:rPr>
          <w:rFonts w:ascii="Calibri" w:hAnsi="Calibri" w:cs="Calibri"/>
          <w:iCs/>
          <w:lang w:val="en-US"/>
        </w:rPr>
        <w:t>BoT</w:t>
      </w:r>
      <w:proofErr w:type="spellEnd"/>
      <w:r w:rsidRPr="00EF3B18">
        <w:rPr>
          <w:rFonts w:ascii="Calibri" w:hAnsi="Calibri" w:cs="Calibri"/>
          <w:iCs/>
          <w:lang w:val="en-US"/>
        </w:rPr>
        <w:t xml:space="preserve"> will cover areas related to: </w:t>
      </w:r>
    </w:p>
    <w:p w14:paraId="60FC8A41" w14:textId="4D14BC40" w:rsidR="00165F9F" w:rsidRPr="00EF3B18" w:rsidRDefault="00165F9F" w:rsidP="00165F9F">
      <w:pPr>
        <w:pStyle w:val="ListParagraph"/>
        <w:numPr>
          <w:ilvl w:val="0"/>
          <w:numId w:val="44"/>
        </w:numPr>
        <w:tabs>
          <w:tab w:val="left" w:pos="1039"/>
        </w:tabs>
        <w:spacing w:before="120"/>
        <w:jc w:val="both"/>
        <w:rPr>
          <w:rFonts w:cs="Calibri"/>
          <w:iCs/>
          <w:lang w:val="en-US"/>
        </w:rPr>
      </w:pPr>
      <w:r w:rsidRPr="00EF3B18">
        <w:rPr>
          <w:rFonts w:cs="Calibri"/>
          <w:iCs/>
          <w:lang w:val="en-US"/>
        </w:rPr>
        <w:t>The policy development and regulatory development exercised by NIVS</w:t>
      </w:r>
    </w:p>
    <w:p w14:paraId="2F86BB84" w14:textId="66DE5302" w:rsidR="00165F9F" w:rsidRPr="00EF3B18" w:rsidRDefault="00165F9F" w:rsidP="00165F9F">
      <w:pPr>
        <w:pStyle w:val="ListParagraph"/>
        <w:numPr>
          <w:ilvl w:val="0"/>
          <w:numId w:val="44"/>
        </w:numPr>
        <w:tabs>
          <w:tab w:val="left" w:pos="1039"/>
        </w:tabs>
        <w:spacing w:before="120"/>
        <w:jc w:val="both"/>
        <w:rPr>
          <w:rFonts w:cs="Calibri"/>
          <w:iCs/>
          <w:lang w:val="en-US"/>
        </w:rPr>
      </w:pPr>
      <w:r w:rsidRPr="00EF3B18">
        <w:rPr>
          <w:rFonts w:cs="Calibri"/>
          <w:iCs/>
          <w:lang w:val="en-US"/>
        </w:rPr>
        <w:t>The program development and implementation carried out by NIVS</w:t>
      </w:r>
    </w:p>
    <w:p w14:paraId="7A2356B4" w14:textId="39C21B71" w:rsidR="00165F9F" w:rsidRPr="00EF3B18" w:rsidRDefault="00165F9F" w:rsidP="00165F9F">
      <w:pPr>
        <w:pStyle w:val="ListParagraph"/>
        <w:numPr>
          <w:ilvl w:val="0"/>
          <w:numId w:val="44"/>
        </w:numPr>
        <w:tabs>
          <w:tab w:val="left" w:pos="1039"/>
        </w:tabs>
        <w:spacing w:before="120"/>
        <w:jc w:val="both"/>
        <w:rPr>
          <w:rFonts w:cs="Calibri"/>
          <w:iCs/>
          <w:lang w:val="en-US"/>
        </w:rPr>
      </w:pPr>
      <w:r w:rsidRPr="00EF3B18">
        <w:rPr>
          <w:rFonts w:cs="Calibri"/>
          <w:iCs/>
          <w:lang w:val="en-US"/>
        </w:rPr>
        <w:t xml:space="preserve">The operations </w:t>
      </w:r>
      <w:r w:rsidR="00F37B14" w:rsidRPr="00EF3B18">
        <w:rPr>
          <w:rFonts w:cs="Calibri"/>
          <w:iCs/>
          <w:lang w:val="en-US"/>
        </w:rPr>
        <w:t xml:space="preserve">of the NIVS as a food regulatory, standard setting and enforcement organization </w:t>
      </w:r>
    </w:p>
    <w:p w14:paraId="66A39F15" w14:textId="33D8D50E" w:rsidR="00F37B14" w:rsidRPr="00EF3B18" w:rsidRDefault="00F37B14" w:rsidP="00165F9F">
      <w:pPr>
        <w:pStyle w:val="ListParagraph"/>
        <w:numPr>
          <w:ilvl w:val="0"/>
          <w:numId w:val="44"/>
        </w:numPr>
        <w:tabs>
          <w:tab w:val="left" w:pos="1039"/>
        </w:tabs>
        <w:spacing w:before="120"/>
        <w:jc w:val="both"/>
        <w:rPr>
          <w:rFonts w:cs="Calibri"/>
          <w:iCs/>
          <w:lang w:val="en-US"/>
        </w:rPr>
      </w:pPr>
      <w:r w:rsidRPr="00EF3B18">
        <w:rPr>
          <w:rFonts w:cs="Calibri"/>
          <w:iCs/>
          <w:lang w:val="en-US"/>
        </w:rPr>
        <w:t xml:space="preserve">The financial and human resources operations of the NIVS. </w:t>
      </w:r>
    </w:p>
    <w:p w14:paraId="0AF2118A" w14:textId="4BEBE82B" w:rsidR="000766E3" w:rsidRPr="00EF3B18" w:rsidRDefault="000766E3" w:rsidP="000271F9">
      <w:pPr>
        <w:tabs>
          <w:tab w:val="left" w:pos="1039"/>
        </w:tabs>
        <w:spacing w:before="120" w:after="0" w:line="240" w:lineRule="auto"/>
        <w:jc w:val="both"/>
        <w:rPr>
          <w:rFonts w:ascii="Calibri" w:hAnsi="Calibri" w:cs="Calibri"/>
          <w:iCs/>
          <w:lang w:val="en-US"/>
        </w:rPr>
      </w:pPr>
    </w:p>
    <w:p w14:paraId="34368839" w14:textId="1CE74201" w:rsidR="00867555" w:rsidRPr="00EF3B18" w:rsidRDefault="00867555" w:rsidP="000271F9">
      <w:pPr>
        <w:tabs>
          <w:tab w:val="left" w:pos="1039"/>
        </w:tabs>
        <w:spacing w:before="120" w:after="0" w:line="240" w:lineRule="auto"/>
        <w:jc w:val="both"/>
        <w:rPr>
          <w:rFonts w:ascii="Calibri" w:hAnsi="Calibri" w:cs="Calibri"/>
          <w:iCs/>
          <w:lang w:val="en-US"/>
        </w:rPr>
      </w:pPr>
      <w:r w:rsidRPr="00EF3B18">
        <w:rPr>
          <w:rFonts w:ascii="Calibri" w:hAnsi="Calibri" w:cs="Calibri"/>
          <w:iCs/>
          <w:lang w:val="en-US"/>
        </w:rPr>
        <w:t xml:space="preserve">The mandate of the </w:t>
      </w:r>
      <w:proofErr w:type="spellStart"/>
      <w:r w:rsidRPr="00EF3B18">
        <w:rPr>
          <w:rFonts w:ascii="Calibri" w:hAnsi="Calibri" w:cs="Calibri"/>
          <w:iCs/>
          <w:lang w:val="en-US"/>
        </w:rPr>
        <w:t>BoT</w:t>
      </w:r>
      <w:proofErr w:type="spellEnd"/>
      <w:r w:rsidRPr="00EF3B18">
        <w:rPr>
          <w:rFonts w:ascii="Calibri" w:hAnsi="Calibri" w:cs="Calibri"/>
          <w:iCs/>
          <w:lang w:val="en-US"/>
        </w:rPr>
        <w:t xml:space="preserve"> and its outputs include: </w:t>
      </w:r>
    </w:p>
    <w:p w14:paraId="21FD4E7E" w14:textId="5C3E1807" w:rsidR="00867555" w:rsidRPr="00EF3B18" w:rsidRDefault="003857CB" w:rsidP="00867555">
      <w:pPr>
        <w:pStyle w:val="ListParagraph"/>
        <w:numPr>
          <w:ilvl w:val="0"/>
          <w:numId w:val="50"/>
        </w:numPr>
        <w:spacing w:after="160" w:line="259" w:lineRule="auto"/>
        <w:contextualSpacing/>
        <w:rPr>
          <w:rFonts w:cs="Calibri"/>
        </w:rPr>
      </w:pPr>
      <w:r w:rsidRPr="00EF3B18">
        <w:rPr>
          <w:rFonts w:cs="Calibri"/>
        </w:rPr>
        <w:t>S</w:t>
      </w:r>
      <w:r w:rsidR="00867555" w:rsidRPr="00EF3B18">
        <w:rPr>
          <w:rFonts w:cs="Calibri"/>
        </w:rPr>
        <w:t xml:space="preserve">upporting the CEO in his /her functions of management and oversight  </w:t>
      </w:r>
    </w:p>
    <w:p w14:paraId="0DB8FAB0" w14:textId="48699FF0" w:rsidR="00867555" w:rsidRPr="00EF3B18" w:rsidRDefault="00867555" w:rsidP="00867555">
      <w:pPr>
        <w:pStyle w:val="ListParagraph"/>
        <w:numPr>
          <w:ilvl w:val="0"/>
          <w:numId w:val="50"/>
        </w:numPr>
        <w:spacing w:after="160" w:line="259" w:lineRule="auto"/>
        <w:contextualSpacing/>
        <w:rPr>
          <w:rFonts w:cs="Calibri"/>
        </w:rPr>
      </w:pPr>
      <w:r w:rsidRPr="00EF3B18">
        <w:rPr>
          <w:rFonts w:cs="Calibri"/>
        </w:rPr>
        <w:t xml:space="preserve">Oversight and follow-up on programmes and activities of the NIVS. </w:t>
      </w:r>
    </w:p>
    <w:p w14:paraId="0C75ED49" w14:textId="1E981523" w:rsidR="00867555" w:rsidRPr="00EF3B18" w:rsidRDefault="00867555" w:rsidP="00867555">
      <w:pPr>
        <w:pStyle w:val="ListParagraph"/>
        <w:numPr>
          <w:ilvl w:val="0"/>
          <w:numId w:val="50"/>
        </w:numPr>
        <w:spacing w:after="160" w:line="259" w:lineRule="auto"/>
        <w:contextualSpacing/>
        <w:rPr>
          <w:rFonts w:cs="Calibri"/>
        </w:rPr>
      </w:pPr>
      <w:r w:rsidRPr="00EF3B18">
        <w:rPr>
          <w:rFonts w:cs="Calibri"/>
        </w:rPr>
        <w:t>Approval of strategic plans, annual business plans, annual budget allocations and major areas of investments in human resources, infrastructure or programs considered by NIVS.</w:t>
      </w:r>
    </w:p>
    <w:p w14:paraId="231CB79A" w14:textId="317910F2" w:rsidR="00867555" w:rsidRPr="00EF3B18" w:rsidRDefault="00867555" w:rsidP="00867555">
      <w:pPr>
        <w:pStyle w:val="ListParagraph"/>
        <w:numPr>
          <w:ilvl w:val="0"/>
          <w:numId w:val="50"/>
        </w:numPr>
        <w:spacing w:after="160" w:line="259" w:lineRule="auto"/>
        <w:contextualSpacing/>
        <w:rPr>
          <w:rFonts w:cs="Calibri"/>
        </w:rPr>
      </w:pPr>
      <w:r w:rsidRPr="00EF3B18">
        <w:rPr>
          <w:rFonts w:cs="Calibri"/>
        </w:rPr>
        <w:t xml:space="preserve">Consideration and approval of food regulatory proposals developed by NIVS in the form of technical rules and amendments to the food regulations in force. The </w:t>
      </w:r>
      <w:proofErr w:type="spellStart"/>
      <w:r w:rsidRPr="00EF3B18">
        <w:rPr>
          <w:rFonts w:cs="Calibri"/>
        </w:rPr>
        <w:t>BoT</w:t>
      </w:r>
      <w:proofErr w:type="spellEnd"/>
      <w:r w:rsidRPr="00EF3B18">
        <w:rPr>
          <w:rFonts w:cs="Calibri"/>
        </w:rPr>
        <w:t xml:space="preserve"> will advise the CEO and act as the final endorsement body for </w:t>
      </w:r>
    </w:p>
    <w:p w14:paraId="461A95FB" w14:textId="77777777" w:rsidR="00867555" w:rsidRPr="00EF3B18" w:rsidRDefault="00867555" w:rsidP="00867555">
      <w:pPr>
        <w:pStyle w:val="ListParagraph"/>
        <w:numPr>
          <w:ilvl w:val="1"/>
          <w:numId w:val="50"/>
        </w:numPr>
        <w:spacing w:after="160" w:line="259" w:lineRule="auto"/>
        <w:contextualSpacing/>
        <w:rPr>
          <w:rFonts w:cs="Calibri"/>
        </w:rPr>
      </w:pPr>
      <w:r w:rsidRPr="00EF3B18">
        <w:rPr>
          <w:rFonts w:cs="Calibri"/>
        </w:rPr>
        <w:t>food regulations</w:t>
      </w:r>
    </w:p>
    <w:p w14:paraId="04F8A151" w14:textId="77777777" w:rsidR="00867555" w:rsidRPr="00EF3B18" w:rsidRDefault="00867555" w:rsidP="00867555">
      <w:pPr>
        <w:pStyle w:val="ListParagraph"/>
        <w:numPr>
          <w:ilvl w:val="1"/>
          <w:numId w:val="50"/>
        </w:numPr>
        <w:spacing w:after="160" w:line="259" w:lineRule="auto"/>
        <w:contextualSpacing/>
        <w:rPr>
          <w:rFonts w:cs="Calibri"/>
        </w:rPr>
      </w:pPr>
      <w:r w:rsidRPr="00EF3B18">
        <w:rPr>
          <w:rFonts w:cs="Calibri"/>
        </w:rPr>
        <w:t>Technical regulations regarding food safety and quality.</w:t>
      </w:r>
    </w:p>
    <w:p w14:paraId="39D5A207" w14:textId="1FE37111" w:rsidR="00867555" w:rsidRPr="00EF3B18" w:rsidRDefault="00011A69" w:rsidP="00011A69">
      <w:pPr>
        <w:pStyle w:val="ListParagraph"/>
        <w:numPr>
          <w:ilvl w:val="0"/>
          <w:numId w:val="50"/>
        </w:numPr>
        <w:spacing w:after="160" w:line="259" w:lineRule="auto"/>
        <w:contextualSpacing/>
        <w:rPr>
          <w:rFonts w:cs="Calibri"/>
        </w:rPr>
      </w:pPr>
      <w:r w:rsidRPr="00EF3B18">
        <w:rPr>
          <w:rFonts w:cs="Calibri"/>
        </w:rPr>
        <w:t xml:space="preserve">Consideration of Strategic directions of the </w:t>
      </w:r>
      <w:r w:rsidR="00867555" w:rsidRPr="00EF3B18">
        <w:rPr>
          <w:rFonts w:cs="Calibri"/>
        </w:rPr>
        <w:t xml:space="preserve">design </w:t>
      </w:r>
      <w:r w:rsidRPr="00EF3B18">
        <w:rPr>
          <w:rFonts w:cs="Calibri"/>
        </w:rPr>
        <w:t xml:space="preserve">and implementation of major </w:t>
      </w:r>
      <w:r w:rsidR="00867555" w:rsidRPr="00EF3B18">
        <w:rPr>
          <w:rFonts w:cs="Calibri"/>
        </w:rPr>
        <w:t>food safety and quality program</w:t>
      </w:r>
      <w:r w:rsidRPr="00EF3B18">
        <w:rPr>
          <w:rFonts w:cs="Calibri"/>
        </w:rPr>
        <w:t>s.</w:t>
      </w:r>
    </w:p>
    <w:p w14:paraId="555466EC" w14:textId="77777777" w:rsidR="00867555" w:rsidRPr="00EF3B18" w:rsidRDefault="00867555" w:rsidP="000271F9">
      <w:pPr>
        <w:tabs>
          <w:tab w:val="left" w:pos="1039"/>
        </w:tabs>
        <w:spacing w:before="120" w:after="0" w:line="240" w:lineRule="auto"/>
        <w:jc w:val="both"/>
        <w:rPr>
          <w:rFonts w:ascii="Calibri" w:hAnsi="Calibri" w:cs="Calibri"/>
          <w:iCs/>
          <w:lang w:val="en-SG"/>
        </w:rPr>
      </w:pPr>
    </w:p>
    <w:p w14:paraId="3352B712" w14:textId="77777777" w:rsidR="00F37B14" w:rsidRPr="00EF3B18" w:rsidRDefault="00F37B14" w:rsidP="00F37B14">
      <w:pPr>
        <w:pStyle w:val="Heading1"/>
        <w:numPr>
          <w:ilvl w:val="0"/>
          <w:numId w:val="20"/>
        </w:numPr>
        <w:spacing w:line="240" w:lineRule="auto"/>
        <w:ind w:left="360"/>
        <w:rPr>
          <w:rFonts w:ascii="Calibri" w:hAnsi="Calibri" w:cs="Calibri"/>
          <w:color w:val="5F497A" w:themeColor="accent4" w:themeShade="BF"/>
          <w:sz w:val="24"/>
          <w:szCs w:val="24"/>
        </w:rPr>
      </w:pPr>
      <w:bookmarkStart w:id="2" w:name="_Toc76515493"/>
      <w:r w:rsidRPr="00EF3B18">
        <w:rPr>
          <w:rFonts w:ascii="Calibri" w:hAnsi="Calibri" w:cs="Calibri"/>
          <w:color w:val="5F497A" w:themeColor="accent4" w:themeShade="BF"/>
          <w:sz w:val="24"/>
          <w:szCs w:val="24"/>
        </w:rPr>
        <w:lastRenderedPageBreak/>
        <w:t>Membership</w:t>
      </w:r>
      <w:bookmarkEnd w:id="2"/>
      <w:r w:rsidRPr="00EF3B18">
        <w:rPr>
          <w:rFonts w:ascii="Calibri" w:hAnsi="Calibri" w:cs="Calibri"/>
          <w:color w:val="5F497A" w:themeColor="accent4" w:themeShade="BF"/>
          <w:sz w:val="24"/>
          <w:szCs w:val="24"/>
        </w:rPr>
        <w:t xml:space="preserve"> </w:t>
      </w:r>
    </w:p>
    <w:p w14:paraId="3965A918" w14:textId="0426A488" w:rsidR="00F37B14" w:rsidRPr="009E53E6" w:rsidRDefault="00F37B14" w:rsidP="009E53E6">
      <w:pPr>
        <w:spacing w:before="240" w:after="0" w:line="240" w:lineRule="auto"/>
        <w:jc w:val="both"/>
        <w:rPr>
          <w:rFonts w:ascii="Calibri" w:hAnsi="Calibri" w:cs="Calibri"/>
          <w:b/>
          <w:bCs/>
        </w:rPr>
      </w:pPr>
      <w:r w:rsidRPr="00EF3B18">
        <w:rPr>
          <w:rFonts w:ascii="Calibri" w:hAnsi="Calibri" w:cs="Calibri"/>
        </w:rPr>
        <w:t xml:space="preserve">The NIVS </w:t>
      </w:r>
      <w:proofErr w:type="spellStart"/>
      <w:r w:rsidRPr="00EF3B18">
        <w:rPr>
          <w:rFonts w:ascii="Calibri" w:hAnsi="Calibri" w:cs="Calibri"/>
        </w:rPr>
        <w:t>BoT</w:t>
      </w:r>
      <w:proofErr w:type="spellEnd"/>
      <w:r w:rsidRPr="00EF3B18">
        <w:rPr>
          <w:rFonts w:ascii="Calibri" w:hAnsi="Calibri" w:cs="Calibri"/>
        </w:rPr>
        <w:t xml:space="preserve"> is composed of </w:t>
      </w:r>
      <w:r w:rsidRPr="009E53E6">
        <w:rPr>
          <w:rFonts w:ascii="Calibri" w:hAnsi="Calibri" w:cs="Calibri"/>
          <w:b/>
          <w:bCs/>
        </w:rPr>
        <w:t>up to 9</w:t>
      </w:r>
      <w:r w:rsidRPr="00EF3B18">
        <w:rPr>
          <w:rFonts w:ascii="Calibri" w:hAnsi="Calibri" w:cs="Calibri"/>
        </w:rPr>
        <w:t xml:space="preserve"> members representing a variety of stakeholders and partners. </w:t>
      </w:r>
    </w:p>
    <w:p w14:paraId="754508F9" w14:textId="2B6FA627" w:rsidR="00F37B14" w:rsidRPr="00EF3B18" w:rsidRDefault="00F37B14" w:rsidP="00F37B14">
      <w:pPr>
        <w:spacing w:before="240" w:after="0" w:line="240" w:lineRule="auto"/>
        <w:jc w:val="both"/>
        <w:rPr>
          <w:rFonts w:ascii="Calibri" w:hAnsi="Calibri" w:cs="Calibri"/>
        </w:rPr>
      </w:pPr>
      <w:proofErr w:type="spellStart"/>
      <w:r w:rsidRPr="00EF3B18">
        <w:rPr>
          <w:rFonts w:ascii="Calibri" w:hAnsi="Calibri" w:cs="Calibri"/>
        </w:rPr>
        <w:t>BoT</w:t>
      </w:r>
      <w:proofErr w:type="spellEnd"/>
      <w:r w:rsidRPr="00EF3B18">
        <w:rPr>
          <w:rFonts w:ascii="Calibri" w:hAnsi="Calibri" w:cs="Calibri"/>
        </w:rPr>
        <w:t xml:space="preserve"> members are appointed by the Minister of Agriculture</w:t>
      </w:r>
      <w:r w:rsidR="00F67400" w:rsidRPr="00EF3B18">
        <w:rPr>
          <w:rFonts w:ascii="Calibri" w:hAnsi="Calibri" w:cs="Calibri"/>
        </w:rPr>
        <w:t xml:space="preserve">, Animal Husbandry and </w:t>
      </w:r>
      <w:r w:rsidR="00292F93">
        <w:rPr>
          <w:rFonts w:ascii="Calibri" w:hAnsi="Calibri" w:cs="Calibri"/>
        </w:rPr>
        <w:t>Fisheries</w:t>
      </w:r>
      <w:r w:rsidRPr="00EF3B18">
        <w:rPr>
          <w:rFonts w:ascii="Calibri" w:hAnsi="Calibri" w:cs="Calibri"/>
        </w:rPr>
        <w:t xml:space="preserve"> (LVV).</w:t>
      </w:r>
    </w:p>
    <w:p w14:paraId="4172DD71" w14:textId="10193857" w:rsidR="00F37B14" w:rsidRPr="00EF3B18" w:rsidRDefault="00F37B14" w:rsidP="00F37B14">
      <w:pPr>
        <w:spacing w:before="240" w:after="0" w:line="240" w:lineRule="auto"/>
        <w:jc w:val="both"/>
        <w:rPr>
          <w:rFonts w:ascii="Calibri" w:hAnsi="Calibri" w:cs="Calibri"/>
        </w:rPr>
      </w:pPr>
      <w:r w:rsidRPr="00EF3B18">
        <w:rPr>
          <w:rFonts w:ascii="Calibri" w:hAnsi="Calibri" w:cs="Calibri"/>
        </w:rPr>
        <w:t xml:space="preserve">Members must have </w:t>
      </w:r>
      <w:r w:rsidR="00F67400" w:rsidRPr="00EF3B18">
        <w:rPr>
          <w:rFonts w:ascii="Calibri" w:hAnsi="Calibri" w:cs="Calibri"/>
        </w:rPr>
        <w:t>experience and /or involvement in the areas pertaining to the food and agri-food sector.</w:t>
      </w:r>
    </w:p>
    <w:p w14:paraId="2F385FC8" w14:textId="0C9E6BD5" w:rsidR="00F37B14" w:rsidRPr="00EF3B18" w:rsidRDefault="00F67400" w:rsidP="00F37B14">
      <w:pPr>
        <w:spacing w:before="240" w:after="0" w:line="240" w:lineRule="auto"/>
        <w:jc w:val="both"/>
        <w:rPr>
          <w:rFonts w:ascii="Calibri" w:hAnsi="Calibri" w:cs="Calibri"/>
        </w:rPr>
      </w:pPr>
      <w:r w:rsidRPr="00EF3B18">
        <w:rPr>
          <w:rFonts w:ascii="Calibri" w:hAnsi="Calibri" w:cs="Calibri"/>
        </w:rPr>
        <w:t xml:space="preserve">The composition of the membership is determined as follows: </w:t>
      </w:r>
    </w:p>
    <w:p w14:paraId="032A37D2" w14:textId="55540087" w:rsidR="00F67400" w:rsidRPr="00EF3B18" w:rsidRDefault="00F67400" w:rsidP="008E3EC7">
      <w:pPr>
        <w:pStyle w:val="ListParagraph"/>
        <w:numPr>
          <w:ilvl w:val="0"/>
          <w:numId w:val="47"/>
        </w:numPr>
        <w:rPr>
          <w:rFonts w:cs="Calibri"/>
          <w:lang w:val="en-US"/>
        </w:rPr>
      </w:pPr>
      <w:r w:rsidRPr="00EF3B18">
        <w:rPr>
          <w:rFonts w:cs="Calibri"/>
          <w:lang w:val="en-US"/>
        </w:rPr>
        <w:t xml:space="preserve">3 Senior Government officials at the level of Permanent Secretaries representing: </w:t>
      </w:r>
    </w:p>
    <w:p w14:paraId="1958B31E" w14:textId="52EA9A38" w:rsidR="00F67400" w:rsidRPr="00EF3B18" w:rsidRDefault="00F67400" w:rsidP="008E3EC7">
      <w:pPr>
        <w:pStyle w:val="ListParagraph"/>
        <w:numPr>
          <w:ilvl w:val="1"/>
          <w:numId w:val="47"/>
        </w:numPr>
        <w:rPr>
          <w:rFonts w:cs="Calibri"/>
          <w:lang w:val="en-US"/>
        </w:rPr>
      </w:pPr>
      <w:r w:rsidRPr="00EF3B18">
        <w:rPr>
          <w:rFonts w:cs="Calibri"/>
          <w:lang w:val="en-US"/>
        </w:rPr>
        <w:t>The Ministry of Agriculture (LVV)</w:t>
      </w:r>
    </w:p>
    <w:p w14:paraId="0D2B4551" w14:textId="3651ED39" w:rsidR="00F67400" w:rsidRPr="00EF3B18" w:rsidRDefault="00F67400" w:rsidP="008E3EC7">
      <w:pPr>
        <w:pStyle w:val="ListParagraph"/>
        <w:numPr>
          <w:ilvl w:val="1"/>
          <w:numId w:val="47"/>
        </w:numPr>
        <w:rPr>
          <w:rFonts w:cs="Calibri"/>
          <w:lang w:val="en-US"/>
        </w:rPr>
      </w:pPr>
      <w:r w:rsidRPr="00EF3B18">
        <w:rPr>
          <w:rFonts w:cs="Calibri"/>
          <w:lang w:val="en-US"/>
        </w:rPr>
        <w:t xml:space="preserve">The Ministry of Health </w:t>
      </w:r>
    </w:p>
    <w:p w14:paraId="00067E26" w14:textId="76234777" w:rsidR="00F67400" w:rsidRPr="00EF3B18" w:rsidRDefault="00F67400" w:rsidP="008E3EC7">
      <w:pPr>
        <w:pStyle w:val="ListParagraph"/>
        <w:numPr>
          <w:ilvl w:val="1"/>
          <w:numId w:val="47"/>
        </w:numPr>
        <w:rPr>
          <w:rFonts w:cs="Calibri"/>
          <w:lang w:val="en-US"/>
        </w:rPr>
      </w:pPr>
      <w:r w:rsidRPr="00EF3B18">
        <w:rPr>
          <w:rFonts w:cs="Calibri"/>
          <w:lang w:val="en-US"/>
        </w:rPr>
        <w:t xml:space="preserve">The Ministry of </w:t>
      </w:r>
      <w:r w:rsidR="006E03A8" w:rsidRPr="00EF3B18">
        <w:rPr>
          <w:rFonts w:cs="Calibri"/>
          <w:lang w:val="en-US"/>
        </w:rPr>
        <w:t>Trade</w:t>
      </w:r>
    </w:p>
    <w:p w14:paraId="0384CBE6" w14:textId="54E981C1" w:rsidR="00F67400" w:rsidRPr="00EF3B18" w:rsidRDefault="009E53E6" w:rsidP="008E3EC7">
      <w:pPr>
        <w:pStyle w:val="ListParagraph"/>
        <w:numPr>
          <w:ilvl w:val="0"/>
          <w:numId w:val="47"/>
        </w:numPr>
        <w:rPr>
          <w:rFonts w:cs="Calibri"/>
          <w:lang w:val="en-US"/>
        </w:rPr>
      </w:pPr>
      <w:r w:rsidRPr="009E53E6">
        <w:rPr>
          <w:rFonts w:cs="Calibri"/>
          <w:b/>
          <w:bCs/>
          <w:lang w:val="en-US"/>
        </w:rPr>
        <w:t xml:space="preserve">Up to </w:t>
      </w:r>
      <w:r w:rsidR="008E3EC7" w:rsidRPr="009E53E6">
        <w:rPr>
          <w:rFonts w:cs="Calibri"/>
          <w:b/>
          <w:bCs/>
          <w:lang w:val="en-US"/>
        </w:rPr>
        <w:t>3</w:t>
      </w:r>
      <w:r w:rsidR="00F67400" w:rsidRPr="00EF3B18">
        <w:rPr>
          <w:rFonts w:cs="Calibri"/>
          <w:lang w:val="en-US"/>
        </w:rPr>
        <w:t xml:space="preserve"> membe</w:t>
      </w:r>
      <w:r w:rsidR="008E3EC7">
        <w:rPr>
          <w:rFonts w:cs="Calibri"/>
          <w:lang w:val="en-US"/>
        </w:rPr>
        <w:t>rs</w:t>
      </w:r>
      <w:r w:rsidR="00F67400" w:rsidRPr="00EF3B18">
        <w:rPr>
          <w:rFonts w:cs="Calibri"/>
          <w:lang w:val="en-US"/>
        </w:rPr>
        <w:t xml:space="preserve"> representing the </w:t>
      </w:r>
      <w:r>
        <w:rPr>
          <w:rFonts w:cs="Calibri"/>
          <w:lang w:val="en-US"/>
        </w:rPr>
        <w:t xml:space="preserve">Agriculture </w:t>
      </w:r>
      <w:proofErr w:type="spellStart"/>
      <w:r>
        <w:rPr>
          <w:rFonts w:cs="Calibri"/>
          <w:lang w:val="en-US"/>
        </w:rPr>
        <w:t>Sector</w:t>
      </w:r>
      <w:proofErr w:type="spellEnd"/>
      <w:r w:rsidR="00F67400" w:rsidRPr="00EF3B18">
        <w:rPr>
          <w:rFonts w:cs="Calibri"/>
          <w:lang w:val="en-US"/>
        </w:rPr>
        <w:t xml:space="preserve"> </w:t>
      </w:r>
    </w:p>
    <w:p w14:paraId="47302CF0" w14:textId="0757D6AA" w:rsidR="00F67400" w:rsidRPr="00E92501" w:rsidRDefault="00E92501" w:rsidP="00B020E6">
      <w:pPr>
        <w:pStyle w:val="ListParagraph"/>
        <w:numPr>
          <w:ilvl w:val="0"/>
          <w:numId w:val="47"/>
        </w:numPr>
        <w:rPr>
          <w:rFonts w:cs="Calibri"/>
          <w:lang w:val="en-US"/>
        </w:rPr>
      </w:pPr>
      <w:r w:rsidRPr="00E92501">
        <w:rPr>
          <w:rFonts w:cs="Calibri"/>
          <w:lang w:val="en-US"/>
        </w:rPr>
        <w:t>2</w:t>
      </w:r>
      <w:r w:rsidR="00F67400" w:rsidRPr="00E92501">
        <w:rPr>
          <w:rFonts w:cs="Calibri"/>
          <w:lang w:val="en-US"/>
        </w:rPr>
        <w:t xml:space="preserve"> member</w:t>
      </w:r>
      <w:r w:rsidRPr="00E92501">
        <w:rPr>
          <w:rFonts w:cs="Calibri"/>
          <w:lang w:val="en-US"/>
        </w:rPr>
        <w:t>s</w:t>
      </w:r>
      <w:r w:rsidR="00F67400" w:rsidRPr="00E92501">
        <w:rPr>
          <w:rFonts w:cs="Calibri"/>
          <w:lang w:val="en-US"/>
        </w:rPr>
        <w:t xml:space="preserve"> representing the processed food </w:t>
      </w:r>
      <w:r w:rsidRPr="00E92501">
        <w:rPr>
          <w:rFonts w:cs="Calibri"/>
          <w:lang w:val="en-US"/>
        </w:rPr>
        <w:t>production</w:t>
      </w:r>
      <w:r w:rsidR="00F67400" w:rsidRPr="00E92501">
        <w:rPr>
          <w:rFonts w:cs="Calibri"/>
          <w:lang w:val="en-US"/>
        </w:rPr>
        <w:t xml:space="preserve"> sector, </w:t>
      </w:r>
      <w:r w:rsidRPr="00E92501">
        <w:rPr>
          <w:rFonts w:cs="Calibri"/>
          <w:lang w:val="en-US"/>
        </w:rPr>
        <w:t xml:space="preserve">one </w:t>
      </w:r>
      <w:r w:rsidR="00F67400" w:rsidRPr="00E92501">
        <w:rPr>
          <w:rFonts w:cs="Calibri"/>
          <w:lang w:val="en-US"/>
        </w:rPr>
        <w:t xml:space="preserve">from </w:t>
      </w:r>
      <w:r w:rsidRPr="00E92501">
        <w:rPr>
          <w:rFonts w:cs="Calibri"/>
          <w:lang w:val="en-US"/>
        </w:rPr>
        <w:t xml:space="preserve">each of </w:t>
      </w:r>
      <w:r w:rsidR="00F67400" w:rsidRPr="00E92501">
        <w:rPr>
          <w:rFonts w:cs="Calibri"/>
          <w:lang w:val="en-US"/>
        </w:rPr>
        <w:t xml:space="preserve">the following </w:t>
      </w:r>
      <w:r w:rsidRPr="00E92501">
        <w:rPr>
          <w:rFonts w:cs="Calibri"/>
          <w:lang w:val="en-US"/>
        </w:rPr>
        <w:t xml:space="preserve">organizations: </w:t>
      </w:r>
      <w:proofErr w:type="spellStart"/>
      <w:r w:rsidR="00F67400" w:rsidRPr="00E92501">
        <w:rPr>
          <w:rFonts w:cs="Calibri"/>
          <w:lang w:val="en-US"/>
        </w:rPr>
        <w:t>Associatie</w:t>
      </w:r>
      <w:proofErr w:type="spellEnd"/>
      <w:r w:rsidR="00F67400" w:rsidRPr="00E92501">
        <w:rPr>
          <w:rFonts w:cs="Calibri"/>
          <w:lang w:val="en-US"/>
        </w:rPr>
        <w:t xml:space="preserve"> van </w:t>
      </w:r>
      <w:proofErr w:type="spellStart"/>
      <w:r w:rsidR="00F67400" w:rsidRPr="00E92501">
        <w:rPr>
          <w:rFonts w:cs="Calibri"/>
          <w:lang w:val="en-US"/>
        </w:rPr>
        <w:t>Surinaamse</w:t>
      </w:r>
      <w:proofErr w:type="spellEnd"/>
      <w:r w:rsidR="00F67400" w:rsidRPr="00E92501">
        <w:rPr>
          <w:rFonts w:cs="Calibri"/>
          <w:lang w:val="en-US"/>
        </w:rPr>
        <w:t xml:space="preserve"> </w:t>
      </w:r>
      <w:proofErr w:type="spellStart"/>
      <w:r w:rsidR="00F67400" w:rsidRPr="00E92501">
        <w:rPr>
          <w:rFonts w:cs="Calibri"/>
          <w:lang w:val="en-US"/>
        </w:rPr>
        <w:t>Fabrikanten</w:t>
      </w:r>
      <w:proofErr w:type="spellEnd"/>
      <w:r w:rsidR="00F67400" w:rsidRPr="00E92501">
        <w:rPr>
          <w:rFonts w:cs="Calibri"/>
          <w:lang w:val="en-US"/>
        </w:rPr>
        <w:t xml:space="preserve"> (ASFA)</w:t>
      </w:r>
      <w:r w:rsidRPr="00E92501">
        <w:rPr>
          <w:rFonts w:cs="Calibri"/>
          <w:lang w:val="en-US"/>
        </w:rPr>
        <w:t xml:space="preserve"> and </w:t>
      </w:r>
      <w:proofErr w:type="spellStart"/>
      <w:r w:rsidRPr="00E92501">
        <w:rPr>
          <w:rFonts w:cs="Calibri"/>
          <w:lang w:val="en-US"/>
        </w:rPr>
        <w:t>vereniging</w:t>
      </w:r>
      <w:proofErr w:type="spellEnd"/>
      <w:r w:rsidRPr="00E92501">
        <w:rPr>
          <w:rFonts w:cs="Calibri"/>
          <w:lang w:val="en-US"/>
        </w:rPr>
        <w:t xml:space="preserve"> </w:t>
      </w:r>
      <w:proofErr w:type="spellStart"/>
      <w:r w:rsidRPr="00E92501">
        <w:rPr>
          <w:rFonts w:cs="Calibri"/>
          <w:lang w:val="en-US"/>
        </w:rPr>
        <w:t>surinaams</w:t>
      </w:r>
      <w:proofErr w:type="spellEnd"/>
      <w:r w:rsidRPr="00E92501">
        <w:rPr>
          <w:rFonts w:cs="Calibri"/>
          <w:lang w:val="en-US"/>
        </w:rPr>
        <w:t xml:space="preserve"> </w:t>
      </w:r>
      <w:proofErr w:type="spellStart"/>
      <w:r w:rsidRPr="00E92501">
        <w:rPr>
          <w:rFonts w:cs="Calibri"/>
          <w:lang w:val="en-US"/>
        </w:rPr>
        <w:t>bedrijfsleven</w:t>
      </w:r>
      <w:proofErr w:type="spellEnd"/>
      <w:r>
        <w:rPr>
          <w:rFonts w:cs="Calibri"/>
          <w:lang w:val="en-US"/>
        </w:rPr>
        <w:t xml:space="preserve"> </w:t>
      </w:r>
      <w:r w:rsidR="00F67400" w:rsidRPr="00E92501">
        <w:rPr>
          <w:rFonts w:cs="Calibri"/>
          <w:lang w:val="en-US"/>
        </w:rPr>
        <w:t>(VSB)</w:t>
      </w:r>
    </w:p>
    <w:p w14:paraId="03D4048B" w14:textId="54F146A6" w:rsidR="00F67400" w:rsidRPr="00EF3B18" w:rsidRDefault="00F67400" w:rsidP="008E3EC7">
      <w:pPr>
        <w:pStyle w:val="ListParagraph"/>
        <w:numPr>
          <w:ilvl w:val="0"/>
          <w:numId w:val="47"/>
        </w:numPr>
        <w:rPr>
          <w:rFonts w:cs="Calibri"/>
          <w:lang w:val="en-US"/>
        </w:rPr>
      </w:pPr>
      <w:r w:rsidRPr="00EF3B18">
        <w:rPr>
          <w:rFonts w:cs="Calibri"/>
          <w:lang w:val="en-US"/>
        </w:rPr>
        <w:t xml:space="preserve">1 Representative of the consumer organizations chosen/appointed upon the recommendation of the </w:t>
      </w:r>
      <w:proofErr w:type="spellStart"/>
      <w:r w:rsidRPr="00EF3B18">
        <w:rPr>
          <w:rFonts w:cs="Calibri"/>
          <w:lang w:val="en-US"/>
        </w:rPr>
        <w:t>Consumentenkring</w:t>
      </w:r>
      <w:proofErr w:type="spellEnd"/>
      <w:r w:rsidRPr="00EF3B18">
        <w:rPr>
          <w:rFonts w:cs="Calibri"/>
          <w:lang w:val="en-US"/>
        </w:rPr>
        <w:t xml:space="preserve"> Suriname.</w:t>
      </w:r>
    </w:p>
    <w:p w14:paraId="791C55FF" w14:textId="580DDD6F" w:rsidR="00F67400" w:rsidRPr="00EF3B18" w:rsidRDefault="00F67400" w:rsidP="00011A69">
      <w:pPr>
        <w:rPr>
          <w:rFonts w:ascii="Calibri" w:hAnsi="Calibri" w:cs="Calibri"/>
          <w:lang w:val="en-US"/>
        </w:rPr>
      </w:pPr>
    </w:p>
    <w:p w14:paraId="26F4C085" w14:textId="5EF542C6" w:rsidR="00011A69" w:rsidRPr="00EF3B18" w:rsidRDefault="00011A69" w:rsidP="00011A69">
      <w:pPr>
        <w:rPr>
          <w:rFonts w:ascii="Calibri" w:hAnsi="Calibri" w:cs="Calibri"/>
          <w:lang w:val="en-US"/>
        </w:rPr>
      </w:pPr>
      <w:r w:rsidRPr="00EF3B18">
        <w:rPr>
          <w:rFonts w:ascii="Calibri" w:hAnsi="Calibri" w:cs="Calibri"/>
          <w:lang w:val="en-US"/>
        </w:rPr>
        <w:t xml:space="preserve">Members will have a </w:t>
      </w:r>
      <w:proofErr w:type="gramStart"/>
      <w:r w:rsidR="00536E76">
        <w:rPr>
          <w:rFonts w:ascii="Calibri" w:hAnsi="Calibri" w:cs="Calibri"/>
          <w:b/>
          <w:bCs/>
          <w:lang w:val="en-US"/>
        </w:rPr>
        <w:t>3</w:t>
      </w:r>
      <w:r w:rsidRPr="00EF3B18">
        <w:rPr>
          <w:rFonts w:ascii="Calibri" w:hAnsi="Calibri" w:cs="Calibri"/>
          <w:b/>
          <w:bCs/>
          <w:lang w:val="en-US"/>
        </w:rPr>
        <w:t xml:space="preserve"> year</w:t>
      </w:r>
      <w:proofErr w:type="gramEnd"/>
      <w:r w:rsidRPr="00EF3B18">
        <w:rPr>
          <w:rFonts w:ascii="Calibri" w:hAnsi="Calibri" w:cs="Calibri"/>
          <w:b/>
          <w:bCs/>
          <w:lang w:val="en-US"/>
        </w:rPr>
        <w:t xml:space="preserve"> term</w:t>
      </w:r>
      <w:r w:rsidRPr="00EF3B18">
        <w:rPr>
          <w:rFonts w:ascii="Calibri" w:hAnsi="Calibri" w:cs="Calibri"/>
          <w:lang w:val="en-US"/>
        </w:rPr>
        <w:t xml:space="preserve"> from the time of their appointment</w:t>
      </w:r>
      <w:r w:rsidR="00536E76">
        <w:rPr>
          <w:rFonts w:ascii="Calibri" w:hAnsi="Calibri" w:cs="Calibri"/>
          <w:lang w:val="en-US"/>
        </w:rPr>
        <w:t xml:space="preserve"> </w:t>
      </w:r>
      <w:r w:rsidR="00536E76" w:rsidRPr="00536E76">
        <w:rPr>
          <w:rFonts w:ascii="Calibri" w:hAnsi="Calibri" w:cs="Calibri"/>
          <w:lang w:val="en-US"/>
        </w:rPr>
        <w:t>with the possibility of one-time extension.</w:t>
      </w:r>
    </w:p>
    <w:p w14:paraId="33F94425" w14:textId="525C9BA5" w:rsidR="00867555" w:rsidRPr="00EF3B18" w:rsidRDefault="00867555" w:rsidP="00867555">
      <w:pPr>
        <w:spacing w:before="120" w:after="120" w:line="240" w:lineRule="auto"/>
        <w:jc w:val="both"/>
        <w:rPr>
          <w:rFonts w:ascii="Calibri" w:hAnsi="Calibri" w:cs="Calibri"/>
        </w:rPr>
      </w:pPr>
      <w:r w:rsidRPr="00EF3B18">
        <w:rPr>
          <w:rFonts w:ascii="Calibri" w:hAnsi="Calibri" w:cs="Calibri"/>
        </w:rPr>
        <w:t xml:space="preserve">The CEO of NIVS sits on BoT meetings as a non-voting member. </w:t>
      </w:r>
    </w:p>
    <w:p w14:paraId="4E6F0F8B" w14:textId="6DEF0429" w:rsidR="00011A69" w:rsidRPr="00EF3B18" w:rsidRDefault="00011A69" w:rsidP="00867555">
      <w:pPr>
        <w:spacing w:before="120" w:after="120" w:line="240" w:lineRule="auto"/>
        <w:jc w:val="both"/>
        <w:rPr>
          <w:rFonts w:ascii="Calibri" w:hAnsi="Calibri" w:cs="Calibri"/>
        </w:rPr>
      </w:pPr>
      <w:r w:rsidRPr="00EF3B18">
        <w:rPr>
          <w:rFonts w:ascii="Calibri" w:hAnsi="Calibri" w:cs="Calibri"/>
        </w:rPr>
        <w:t>Should a member of</w:t>
      </w:r>
      <w:r w:rsidR="009E53E6">
        <w:rPr>
          <w:rFonts w:ascii="Calibri" w:hAnsi="Calibri" w:cs="Calibri"/>
        </w:rPr>
        <w:t xml:space="preserve"> the</w:t>
      </w:r>
      <w:r w:rsidRPr="00EF3B18">
        <w:rPr>
          <w:rFonts w:ascii="Calibri" w:hAnsi="Calibri" w:cs="Calibri"/>
        </w:rPr>
        <w:t xml:space="preserve"> NIVS</w:t>
      </w:r>
      <w:r w:rsidR="009E53E6">
        <w:rPr>
          <w:rFonts w:ascii="Calibri" w:hAnsi="Calibri" w:cs="Calibri"/>
        </w:rPr>
        <w:t xml:space="preserve"> </w:t>
      </w:r>
      <w:proofErr w:type="spellStart"/>
      <w:r w:rsidR="009E53E6">
        <w:rPr>
          <w:rFonts w:ascii="Calibri" w:hAnsi="Calibri" w:cs="Calibri"/>
        </w:rPr>
        <w:t>BoT</w:t>
      </w:r>
      <w:proofErr w:type="spellEnd"/>
      <w:r w:rsidRPr="00EF3B18">
        <w:rPr>
          <w:rFonts w:ascii="Calibri" w:hAnsi="Calibri" w:cs="Calibri"/>
        </w:rPr>
        <w:t xml:space="preserve"> resign, the Chair of the </w:t>
      </w:r>
      <w:proofErr w:type="spellStart"/>
      <w:r w:rsidRPr="00EF3B18">
        <w:rPr>
          <w:rFonts w:ascii="Calibri" w:hAnsi="Calibri" w:cs="Calibri"/>
        </w:rPr>
        <w:t>BoT</w:t>
      </w:r>
      <w:proofErr w:type="spellEnd"/>
      <w:r w:rsidRPr="00EF3B18">
        <w:rPr>
          <w:rFonts w:ascii="Calibri" w:hAnsi="Calibri" w:cs="Calibri"/>
        </w:rPr>
        <w:t xml:space="preserve"> will seek from the Minister of </w:t>
      </w:r>
      <w:r w:rsidR="00E94098">
        <w:rPr>
          <w:rFonts w:ascii="Calibri" w:hAnsi="Calibri" w:cs="Calibri"/>
        </w:rPr>
        <w:t>LVV</w:t>
      </w:r>
      <w:r w:rsidRPr="00EF3B18">
        <w:rPr>
          <w:rFonts w:ascii="Calibri" w:hAnsi="Calibri" w:cs="Calibri"/>
        </w:rPr>
        <w:t xml:space="preserve"> a replacement for that member, to be appointed according to the same modalities of recommendation by the Minister of LV</w:t>
      </w:r>
      <w:r w:rsidR="009E53E6">
        <w:rPr>
          <w:rFonts w:ascii="Calibri" w:hAnsi="Calibri" w:cs="Calibri"/>
        </w:rPr>
        <w:t>V</w:t>
      </w:r>
      <w:r w:rsidRPr="00EF3B18">
        <w:rPr>
          <w:rFonts w:ascii="Calibri" w:hAnsi="Calibri" w:cs="Calibri"/>
        </w:rPr>
        <w:t>.</w:t>
      </w:r>
    </w:p>
    <w:p w14:paraId="7C9324D7" w14:textId="77777777" w:rsidR="00867555" w:rsidRPr="00EF3B18" w:rsidRDefault="00867555" w:rsidP="006E03A8">
      <w:pPr>
        <w:pStyle w:val="ListParagraph"/>
        <w:ind w:left="1440"/>
        <w:rPr>
          <w:rFonts w:cs="Calibri"/>
          <w:lang w:val="en-GB"/>
        </w:rPr>
      </w:pPr>
    </w:p>
    <w:p w14:paraId="5D3F3FD9" w14:textId="3A148884" w:rsidR="006E03A8" w:rsidRPr="00EF3B18" w:rsidRDefault="006E03A8" w:rsidP="006E03A8">
      <w:pPr>
        <w:pStyle w:val="Heading1"/>
        <w:numPr>
          <w:ilvl w:val="0"/>
          <w:numId w:val="20"/>
        </w:numPr>
        <w:spacing w:line="240" w:lineRule="auto"/>
        <w:ind w:left="360"/>
        <w:rPr>
          <w:rFonts w:ascii="Calibri" w:hAnsi="Calibri" w:cs="Calibri"/>
          <w:color w:val="5F497A" w:themeColor="accent4" w:themeShade="BF"/>
          <w:sz w:val="24"/>
          <w:szCs w:val="24"/>
        </w:rPr>
      </w:pPr>
      <w:bookmarkStart w:id="3" w:name="_Toc76515494"/>
      <w:r w:rsidRPr="00EF3B18">
        <w:rPr>
          <w:rFonts w:ascii="Calibri" w:hAnsi="Calibri" w:cs="Calibri"/>
          <w:color w:val="5F497A" w:themeColor="accent4" w:themeShade="BF"/>
          <w:sz w:val="24"/>
          <w:szCs w:val="24"/>
        </w:rPr>
        <w:t xml:space="preserve">Operations and Chairing of the </w:t>
      </w:r>
      <w:proofErr w:type="spellStart"/>
      <w:r w:rsidRPr="00EF3B18">
        <w:rPr>
          <w:rFonts w:ascii="Calibri" w:hAnsi="Calibri" w:cs="Calibri"/>
          <w:color w:val="5F497A" w:themeColor="accent4" w:themeShade="BF"/>
          <w:sz w:val="24"/>
          <w:szCs w:val="24"/>
        </w:rPr>
        <w:t>BoT</w:t>
      </w:r>
      <w:bookmarkEnd w:id="3"/>
      <w:proofErr w:type="spellEnd"/>
    </w:p>
    <w:p w14:paraId="2D5DED90" w14:textId="66CA27C7" w:rsidR="006E03A8" w:rsidRPr="00EF3B18" w:rsidRDefault="006E03A8" w:rsidP="006E03A8">
      <w:pPr>
        <w:spacing w:before="120" w:after="120" w:line="240" w:lineRule="auto"/>
        <w:jc w:val="both"/>
        <w:rPr>
          <w:rFonts w:ascii="Calibri" w:hAnsi="Calibri" w:cs="Calibri"/>
        </w:rPr>
      </w:pPr>
      <w:r w:rsidRPr="00EF3B18">
        <w:rPr>
          <w:rFonts w:ascii="Calibri" w:hAnsi="Calibri" w:cs="Calibri"/>
        </w:rPr>
        <w:t xml:space="preserve">The CEO of NIVS reports to the Board of Trustees and is supported in his/her operations and management of </w:t>
      </w:r>
      <w:r w:rsidR="00886FD6">
        <w:rPr>
          <w:rFonts w:ascii="Calibri" w:hAnsi="Calibri" w:cs="Calibri"/>
        </w:rPr>
        <w:t>NIVS</w:t>
      </w:r>
      <w:r w:rsidRPr="00EF3B18">
        <w:rPr>
          <w:rFonts w:ascii="Calibri" w:hAnsi="Calibri" w:cs="Calibri"/>
        </w:rPr>
        <w:t xml:space="preserve"> by the </w:t>
      </w:r>
      <w:proofErr w:type="spellStart"/>
      <w:r w:rsidRPr="00EF3B18">
        <w:rPr>
          <w:rFonts w:ascii="Calibri" w:hAnsi="Calibri" w:cs="Calibri"/>
        </w:rPr>
        <w:t>BoT.</w:t>
      </w:r>
      <w:proofErr w:type="spellEnd"/>
      <w:r w:rsidRPr="00EF3B18">
        <w:rPr>
          <w:rFonts w:ascii="Calibri" w:hAnsi="Calibri" w:cs="Calibri"/>
        </w:rPr>
        <w:t xml:space="preserve"> </w:t>
      </w:r>
    </w:p>
    <w:p w14:paraId="66683FD2" w14:textId="65F89D45" w:rsidR="006E03A8" w:rsidRPr="00EF3B18" w:rsidRDefault="006E03A8" w:rsidP="006E03A8">
      <w:pPr>
        <w:spacing w:before="120" w:after="120" w:line="240" w:lineRule="auto"/>
        <w:jc w:val="both"/>
        <w:rPr>
          <w:rFonts w:ascii="Calibri" w:hAnsi="Calibri" w:cs="Calibri"/>
        </w:rPr>
      </w:pPr>
      <w:r w:rsidRPr="00EF3B18">
        <w:rPr>
          <w:rFonts w:ascii="Calibri" w:hAnsi="Calibri" w:cs="Calibri"/>
        </w:rPr>
        <w:t xml:space="preserve">The </w:t>
      </w:r>
      <w:proofErr w:type="spellStart"/>
      <w:r w:rsidRPr="00EF3B18">
        <w:rPr>
          <w:rFonts w:ascii="Calibri" w:hAnsi="Calibri" w:cs="Calibri"/>
        </w:rPr>
        <w:t>BoT</w:t>
      </w:r>
      <w:proofErr w:type="spellEnd"/>
      <w:r w:rsidRPr="00EF3B18">
        <w:rPr>
          <w:rFonts w:ascii="Calibri" w:hAnsi="Calibri" w:cs="Calibri"/>
        </w:rPr>
        <w:t xml:space="preserve"> will be chaired by the member appointed as representing the agriculture portfolio </w:t>
      </w:r>
      <w:proofErr w:type="gramStart"/>
      <w:r w:rsidRPr="00EF3B18">
        <w:rPr>
          <w:rFonts w:ascii="Calibri" w:hAnsi="Calibri" w:cs="Calibri"/>
        </w:rPr>
        <w:t>i.e.</w:t>
      </w:r>
      <w:proofErr w:type="gramEnd"/>
      <w:r w:rsidRPr="00EF3B18">
        <w:rPr>
          <w:rFonts w:ascii="Calibri" w:hAnsi="Calibri" w:cs="Calibri"/>
        </w:rPr>
        <w:t xml:space="preserve"> the Permanent Secretary representing LVV. </w:t>
      </w:r>
    </w:p>
    <w:p w14:paraId="3860ED74" w14:textId="384987A8" w:rsidR="006E03A8" w:rsidRDefault="006E03A8" w:rsidP="006E03A8">
      <w:pPr>
        <w:spacing w:before="120" w:after="120" w:line="240" w:lineRule="auto"/>
        <w:jc w:val="both"/>
        <w:rPr>
          <w:rFonts w:ascii="Calibri" w:hAnsi="Calibri" w:cs="Calibri"/>
        </w:rPr>
      </w:pPr>
      <w:r w:rsidRPr="00EF3B18">
        <w:rPr>
          <w:rFonts w:ascii="Calibri" w:hAnsi="Calibri" w:cs="Calibri"/>
        </w:rPr>
        <w:t xml:space="preserve">The Chair will direct the discussions and deliberations of the </w:t>
      </w:r>
      <w:proofErr w:type="spellStart"/>
      <w:r w:rsidRPr="00EF3B18">
        <w:rPr>
          <w:rFonts w:ascii="Calibri" w:hAnsi="Calibri" w:cs="Calibri"/>
        </w:rPr>
        <w:t>BoT.</w:t>
      </w:r>
      <w:proofErr w:type="spellEnd"/>
      <w:r w:rsidRPr="00EF3B18">
        <w:rPr>
          <w:rFonts w:ascii="Calibri" w:hAnsi="Calibri" w:cs="Calibri"/>
        </w:rPr>
        <w:t xml:space="preserve"> </w:t>
      </w:r>
    </w:p>
    <w:p w14:paraId="63F81CD9" w14:textId="62DD0F85" w:rsidR="0038580A" w:rsidRDefault="0038580A" w:rsidP="006E03A8">
      <w:pPr>
        <w:spacing w:before="120" w:after="120" w:line="240" w:lineRule="auto"/>
        <w:jc w:val="both"/>
        <w:rPr>
          <w:rFonts w:ascii="Calibri" w:hAnsi="Calibri" w:cs="Calibri"/>
        </w:rPr>
      </w:pPr>
      <w:r w:rsidRPr="0038580A">
        <w:rPr>
          <w:rFonts w:ascii="Calibri" w:hAnsi="Calibri" w:cs="Calibri"/>
        </w:rPr>
        <w:t xml:space="preserve">The Vice-Chairmanship of the board rotates every three years among one of the members </w:t>
      </w:r>
      <w:r>
        <w:rPr>
          <w:rFonts w:ascii="Calibri" w:hAnsi="Calibri" w:cs="Calibri"/>
        </w:rPr>
        <w:t xml:space="preserve">of the </w:t>
      </w:r>
      <w:proofErr w:type="gramStart"/>
      <w:r w:rsidR="00886FD6">
        <w:rPr>
          <w:rFonts w:ascii="Calibri" w:hAnsi="Calibri" w:cs="Calibri"/>
        </w:rPr>
        <w:t>Agriculture</w:t>
      </w:r>
      <w:proofErr w:type="gramEnd"/>
      <w:r>
        <w:rPr>
          <w:rFonts w:ascii="Calibri" w:hAnsi="Calibri" w:cs="Calibri"/>
        </w:rPr>
        <w:t xml:space="preserve"> or the </w:t>
      </w:r>
      <w:r w:rsidR="00C66EB5" w:rsidRPr="00C66EB5">
        <w:rPr>
          <w:rFonts w:ascii="Calibri" w:hAnsi="Calibri" w:cs="Calibri"/>
        </w:rPr>
        <w:t>processed food production sector</w:t>
      </w:r>
      <w:r>
        <w:rPr>
          <w:rFonts w:ascii="Calibri" w:hAnsi="Calibri" w:cs="Calibri"/>
        </w:rPr>
        <w:t>.</w:t>
      </w:r>
    </w:p>
    <w:p w14:paraId="4D4F593D" w14:textId="4D62D7A8" w:rsidR="006E03A8" w:rsidRPr="00EF3B18" w:rsidRDefault="00A708D2" w:rsidP="006E03A8">
      <w:pPr>
        <w:spacing w:before="120" w:after="120" w:line="240" w:lineRule="auto"/>
        <w:jc w:val="both"/>
        <w:rPr>
          <w:rFonts w:ascii="Calibri" w:hAnsi="Calibri" w:cs="Calibri"/>
        </w:rPr>
      </w:pPr>
      <w:r w:rsidRPr="00EF3B18">
        <w:rPr>
          <w:rFonts w:ascii="Calibri" w:hAnsi="Calibri" w:cs="Calibri"/>
        </w:rPr>
        <w:t xml:space="preserve">Decisions made by the </w:t>
      </w:r>
      <w:proofErr w:type="spellStart"/>
      <w:r w:rsidRPr="00EF3B18">
        <w:rPr>
          <w:rFonts w:ascii="Calibri" w:hAnsi="Calibri" w:cs="Calibri"/>
        </w:rPr>
        <w:t>BoT</w:t>
      </w:r>
      <w:proofErr w:type="spellEnd"/>
      <w:r w:rsidRPr="00EF3B18">
        <w:rPr>
          <w:rFonts w:ascii="Calibri" w:hAnsi="Calibri" w:cs="Calibri"/>
        </w:rPr>
        <w:t xml:space="preserve"> are to be made by consensus whenever possible. In </w:t>
      </w:r>
      <w:r w:rsidRPr="00EF3B18">
        <w:rPr>
          <w:rFonts w:ascii="Calibri" w:hAnsi="Calibri" w:cs="Calibri"/>
          <w:b/>
          <w:bCs/>
        </w:rPr>
        <w:t>exceptional circumstances</w:t>
      </w:r>
      <w:r w:rsidR="00867555" w:rsidRPr="00EF3B18">
        <w:rPr>
          <w:rFonts w:ascii="Calibri" w:hAnsi="Calibri" w:cs="Calibri"/>
        </w:rPr>
        <w:t>,</w:t>
      </w:r>
      <w:r w:rsidRPr="00EF3B18">
        <w:rPr>
          <w:rFonts w:ascii="Calibri" w:hAnsi="Calibri" w:cs="Calibri"/>
        </w:rPr>
        <w:t xml:space="preserve"> a vote may be </w:t>
      </w:r>
      <w:r w:rsidR="004B3940" w:rsidRPr="00EF3B18">
        <w:rPr>
          <w:rFonts w:ascii="Calibri" w:hAnsi="Calibri" w:cs="Calibri"/>
        </w:rPr>
        <w:t>required,</w:t>
      </w:r>
      <w:r w:rsidRPr="00EF3B18">
        <w:rPr>
          <w:rFonts w:ascii="Calibri" w:hAnsi="Calibri" w:cs="Calibri"/>
        </w:rPr>
        <w:t xml:space="preserve"> and decisions will be </w:t>
      </w:r>
      <w:r w:rsidRPr="00CF4C4E">
        <w:rPr>
          <w:rFonts w:ascii="Calibri" w:hAnsi="Calibri" w:cs="Calibri"/>
          <w:b/>
          <w:bCs/>
        </w:rPr>
        <w:t>made at simple majority.</w:t>
      </w:r>
      <w:r w:rsidRPr="00EF3B18">
        <w:rPr>
          <w:rFonts w:ascii="Calibri" w:hAnsi="Calibri" w:cs="Calibri"/>
        </w:rPr>
        <w:t xml:space="preserve"> </w:t>
      </w:r>
    </w:p>
    <w:p w14:paraId="3B530BFD" w14:textId="1444A360" w:rsidR="00867555" w:rsidRPr="00EF3B18" w:rsidRDefault="00867555" w:rsidP="006E03A8">
      <w:pPr>
        <w:spacing w:before="120" w:after="120" w:line="240" w:lineRule="auto"/>
        <w:jc w:val="both"/>
        <w:rPr>
          <w:rFonts w:ascii="Calibri" w:hAnsi="Calibri" w:cs="Calibri"/>
        </w:rPr>
      </w:pPr>
      <w:r w:rsidRPr="00EF3B18">
        <w:rPr>
          <w:rFonts w:ascii="Calibri" w:hAnsi="Calibri" w:cs="Calibri"/>
        </w:rPr>
        <w:t xml:space="preserve">Situations where votes are specifically required are related to: </w:t>
      </w:r>
    </w:p>
    <w:p w14:paraId="2050D7F7" w14:textId="5517C2D5" w:rsidR="00867555" w:rsidRPr="00EF3B18" w:rsidRDefault="00867555" w:rsidP="00867555">
      <w:pPr>
        <w:pStyle w:val="ListParagraph"/>
        <w:numPr>
          <w:ilvl w:val="0"/>
          <w:numId w:val="44"/>
        </w:numPr>
        <w:spacing w:before="120" w:after="120"/>
        <w:jc w:val="both"/>
        <w:rPr>
          <w:rFonts w:cs="Calibri"/>
        </w:rPr>
      </w:pPr>
      <w:r w:rsidRPr="00EF3B18">
        <w:rPr>
          <w:rFonts w:cs="Calibri"/>
        </w:rPr>
        <w:t>The strategic plan and strategic direction developed for NIVS for a given period</w:t>
      </w:r>
    </w:p>
    <w:p w14:paraId="0B9A3961" w14:textId="11834BEF" w:rsidR="00867555" w:rsidRPr="00EF3B18" w:rsidRDefault="00867555" w:rsidP="00867555">
      <w:pPr>
        <w:pStyle w:val="ListParagraph"/>
        <w:numPr>
          <w:ilvl w:val="0"/>
          <w:numId w:val="44"/>
        </w:numPr>
        <w:spacing w:before="120" w:after="120"/>
        <w:jc w:val="both"/>
        <w:rPr>
          <w:rFonts w:cs="Calibri"/>
        </w:rPr>
      </w:pPr>
      <w:r w:rsidRPr="00EF3B18">
        <w:rPr>
          <w:rFonts w:cs="Calibri"/>
        </w:rPr>
        <w:t xml:space="preserve">The annual budget allocated to NIVS and its projected distribution </w:t>
      </w:r>
    </w:p>
    <w:p w14:paraId="2157B786" w14:textId="74A2A158" w:rsidR="00867555" w:rsidRPr="00EF3B18" w:rsidRDefault="00867555" w:rsidP="00867555">
      <w:pPr>
        <w:pStyle w:val="ListParagraph"/>
        <w:numPr>
          <w:ilvl w:val="0"/>
          <w:numId w:val="44"/>
        </w:numPr>
        <w:spacing w:before="120" w:after="120"/>
        <w:jc w:val="both"/>
        <w:rPr>
          <w:rFonts w:cs="Calibri"/>
        </w:rPr>
      </w:pPr>
      <w:r w:rsidRPr="00EF3B18">
        <w:rPr>
          <w:rFonts w:cs="Calibri"/>
        </w:rPr>
        <w:t>The organizational structure of the NIVS with the assignment of key senior leadership positions reporting to the CEO.</w:t>
      </w:r>
    </w:p>
    <w:p w14:paraId="01C575EB" w14:textId="4FC1650B" w:rsidR="00867555" w:rsidRPr="00EF3B18" w:rsidRDefault="00867555" w:rsidP="006E03A8">
      <w:pPr>
        <w:spacing w:before="120" w:after="120" w:line="240" w:lineRule="auto"/>
        <w:jc w:val="both"/>
        <w:rPr>
          <w:rFonts w:ascii="Calibri" w:hAnsi="Calibri" w:cs="Calibri"/>
        </w:rPr>
      </w:pPr>
    </w:p>
    <w:p w14:paraId="53EAA240" w14:textId="77777777" w:rsidR="00867555" w:rsidRPr="00EF3B18" w:rsidRDefault="00867555" w:rsidP="00011A69">
      <w:pPr>
        <w:spacing w:after="160" w:line="259" w:lineRule="auto"/>
        <w:contextualSpacing/>
        <w:rPr>
          <w:rFonts w:ascii="Calibri" w:hAnsi="Calibri" w:cs="Calibri"/>
        </w:rPr>
      </w:pPr>
      <w:r w:rsidRPr="00EF3B18">
        <w:rPr>
          <w:rFonts w:ascii="Calibri" w:hAnsi="Calibri" w:cs="Calibri"/>
        </w:rPr>
        <w:lastRenderedPageBreak/>
        <w:t>The Board shall be empowered to obtain any information necessary for the performance of its work.</w:t>
      </w:r>
    </w:p>
    <w:p w14:paraId="07EA0762" w14:textId="77777777" w:rsidR="00011A69" w:rsidRPr="00EF3B18" w:rsidRDefault="00011A69" w:rsidP="00D33CF0">
      <w:pPr>
        <w:rPr>
          <w:rFonts w:ascii="Calibri" w:hAnsi="Calibri" w:cs="Calibri"/>
        </w:rPr>
      </w:pPr>
    </w:p>
    <w:p w14:paraId="3829E2D7" w14:textId="678FCE9A" w:rsidR="00011A69" w:rsidRPr="00EF3B18" w:rsidRDefault="00011A69" w:rsidP="00011A69">
      <w:pPr>
        <w:pStyle w:val="Heading1"/>
        <w:numPr>
          <w:ilvl w:val="0"/>
          <w:numId w:val="20"/>
        </w:numPr>
        <w:spacing w:line="240" w:lineRule="auto"/>
        <w:ind w:left="360"/>
        <w:rPr>
          <w:rFonts w:ascii="Calibri" w:hAnsi="Calibri" w:cs="Calibri"/>
          <w:color w:val="5F497A" w:themeColor="accent4" w:themeShade="BF"/>
          <w:sz w:val="24"/>
          <w:szCs w:val="24"/>
        </w:rPr>
      </w:pPr>
      <w:bookmarkStart w:id="4" w:name="_Toc76515495"/>
      <w:r w:rsidRPr="00EF3B18">
        <w:rPr>
          <w:rFonts w:ascii="Calibri" w:hAnsi="Calibri" w:cs="Calibri"/>
          <w:color w:val="5F497A" w:themeColor="accent4" w:themeShade="BF"/>
          <w:sz w:val="24"/>
          <w:szCs w:val="24"/>
        </w:rPr>
        <w:t xml:space="preserve">Meetings of the </w:t>
      </w:r>
      <w:proofErr w:type="spellStart"/>
      <w:r w:rsidRPr="00EF3B18">
        <w:rPr>
          <w:rFonts w:ascii="Calibri" w:hAnsi="Calibri" w:cs="Calibri"/>
          <w:color w:val="5F497A" w:themeColor="accent4" w:themeShade="BF"/>
          <w:sz w:val="24"/>
          <w:szCs w:val="24"/>
        </w:rPr>
        <w:t>BoT</w:t>
      </w:r>
      <w:bookmarkEnd w:id="4"/>
      <w:proofErr w:type="spellEnd"/>
      <w:r w:rsidRPr="00EF3B18">
        <w:rPr>
          <w:rFonts w:ascii="Calibri" w:hAnsi="Calibri" w:cs="Calibri"/>
          <w:color w:val="5F497A" w:themeColor="accent4" w:themeShade="BF"/>
          <w:sz w:val="24"/>
          <w:szCs w:val="24"/>
        </w:rPr>
        <w:t xml:space="preserve"> </w:t>
      </w:r>
    </w:p>
    <w:p w14:paraId="39F01A56" w14:textId="463E5B27" w:rsidR="00011A69" w:rsidRPr="00EF3B18" w:rsidRDefault="00011A69" w:rsidP="00011A69">
      <w:pPr>
        <w:spacing w:before="120" w:after="120" w:line="240" w:lineRule="auto"/>
        <w:jc w:val="both"/>
        <w:rPr>
          <w:rFonts w:ascii="Calibri" w:hAnsi="Calibri" w:cs="Calibri"/>
        </w:rPr>
      </w:pPr>
      <w:r w:rsidRPr="00EF3B18">
        <w:rPr>
          <w:rFonts w:ascii="Calibri" w:hAnsi="Calibri" w:cs="Calibri"/>
        </w:rPr>
        <w:t xml:space="preserve">The </w:t>
      </w:r>
      <w:proofErr w:type="spellStart"/>
      <w:r w:rsidRPr="00EF3B18">
        <w:rPr>
          <w:rFonts w:ascii="Calibri" w:hAnsi="Calibri" w:cs="Calibri"/>
        </w:rPr>
        <w:t>BoT</w:t>
      </w:r>
      <w:proofErr w:type="spellEnd"/>
      <w:r w:rsidRPr="00EF3B18">
        <w:rPr>
          <w:rFonts w:ascii="Calibri" w:hAnsi="Calibri" w:cs="Calibri"/>
        </w:rPr>
        <w:t xml:space="preserve"> will meet </w:t>
      </w:r>
      <w:proofErr w:type="gramStart"/>
      <w:r w:rsidRPr="00EF3B18">
        <w:rPr>
          <w:rFonts w:ascii="Calibri" w:hAnsi="Calibri" w:cs="Calibri"/>
        </w:rPr>
        <w:t>on a monthly basis</w:t>
      </w:r>
      <w:proofErr w:type="gramEnd"/>
      <w:r w:rsidR="00D33CF0" w:rsidRPr="00EF3B18">
        <w:rPr>
          <w:rFonts w:ascii="Calibri" w:hAnsi="Calibri" w:cs="Calibri"/>
        </w:rPr>
        <w:t>,</w:t>
      </w:r>
      <w:r w:rsidRPr="00EF3B18">
        <w:rPr>
          <w:rFonts w:ascii="Calibri" w:hAnsi="Calibri" w:cs="Calibri"/>
        </w:rPr>
        <w:t xml:space="preserve"> or as may be warranted by the </w:t>
      </w:r>
      <w:r w:rsidR="00D33CF0" w:rsidRPr="00EF3B18">
        <w:rPr>
          <w:rFonts w:ascii="Calibri" w:hAnsi="Calibri" w:cs="Calibri"/>
        </w:rPr>
        <w:t xml:space="preserve">operational requirements of NIVS. </w:t>
      </w:r>
    </w:p>
    <w:p w14:paraId="183A47ED" w14:textId="1765426D" w:rsidR="00D33CF0" w:rsidRPr="00EF3B18" w:rsidRDefault="00D33CF0" w:rsidP="00011A69">
      <w:pPr>
        <w:spacing w:before="120" w:after="120" w:line="240" w:lineRule="auto"/>
        <w:jc w:val="both"/>
        <w:rPr>
          <w:rFonts w:ascii="Calibri" w:hAnsi="Calibri" w:cs="Calibri"/>
        </w:rPr>
      </w:pPr>
      <w:r w:rsidRPr="00EF3B18">
        <w:rPr>
          <w:rFonts w:ascii="Calibri" w:hAnsi="Calibri" w:cs="Calibri"/>
        </w:rPr>
        <w:t xml:space="preserve">The </w:t>
      </w:r>
      <w:proofErr w:type="spellStart"/>
      <w:r w:rsidRPr="00EF3B18">
        <w:rPr>
          <w:rFonts w:ascii="Calibri" w:hAnsi="Calibri" w:cs="Calibri"/>
        </w:rPr>
        <w:t>BoT</w:t>
      </w:r>
      <w:proofErr w:type="spellEnd"/>
      <w:r w:rsidRPr="00EF3B18">
        <w:rPr>
          <w:rFonts w:ascii="Calibri" w:hAnsi="Calibri" w:cs="Calibri"/>
        </w:rPr>
        <w:t xml:space="preserve"> will be assisted by a secretariat that will support the Board’s operations and its meetings. This Secretariat is managed by </w:t>
      </w:r>
      <w:r w:rsidR="00FE5036">
        <w:rPr>
          <w:rFonts w:ascii="Calibri" w:hAnsi="Calibri" w:cs="Calibri"/>
        </w:rPr>
        <w:t>a staff member of one of the Ministries or NIVS</w:t>
      </w:r>
      <w:r w:rsidRPr="00EF3B18">
        <w:rPr>
          <w:rFonts w:ascii="Calibri" w:hAnsi="Calibri" w:cs="Calibri"/>
        </w:rPr>
        <w:t xml:space="preserve">. </w:t>
      </w:r>
    </w:p>
    <w:p w14:paraId="23455AED" w14:textId="2C56C5CB" w:rsidR="00D33CF0" w:rsidRPr="00EF3B18" w:rsidRDefault="00D33CF0" w:rsidP="00011A69">
      <w:pPr>
        <w:spacing w:before="120" w:after="120" w:line="240" w:lineRule="auto"/>
        <w:jc w:val="both"/>
        <w:rPr>
          <w:rFonts w:ascii="Calibri" w:hAnsi="Calibri" w:cs="Calibri"/>
        </w:rPr>
      </w:pPr>
      <w:r w:rsidRPr="00EF3B18">
        <w:rPr>
          <w:rFonts w:ascii="Calibri" w:hAnsi="Calibri" w:cs="Calibri"/>
        </w:rPr>
        <w:t xml:space="preserve">A meeting notice should be sent to </w:t>
      </w:r>
      <w:r w:rsidR="00FE5036">
        <w:rPr>
          <w:rFonts w:ascii="Calibri" w:hAnsi="Calibri" w:cs="Calibri"/>
        </w:rPr>
        <w:t xml:space="preserve">the </w:t>
      </w:r>
      <w:proofErr w:type="spellStart"/>
      <w:r w:rsidRPr="00EF3B18">
        <w:rPr>
          <w:rFonts w:ascii="Calibri" w:hAnsi="Calibri" w:cs="Calibri"/>
        </w:rPr>
        <w:t>BoT</w:t>
      </w:r>
      <w:proofErr w:type="spellEnd"/>
      <w:r w:rsidRPr="00EF3B18">
        <w:rPr>
          <w:rFonts w:ascii="Calibri" w:hAnsi="Calibri" w:cs="Calibri"/>
        </w:rPr>
        <w:t xml:space="preserve"> members by the </w:t>
      </w:r>
      <w:proofErr w:type="spellStart"/>
      <w:r w:rsidRPr="00EF3B18">
        <w:rPr>
          <w:rFonts w:ascii="Calibri" w:hAnsi="Calibri" w:cs="Calibri"/>
        </w:rPr>
        <w:t>BoT</w:t>
      </w:r>
      <w:proofErr w:type="spellEnd"/>
      <w:r w:rsidRPr="00EF3B18">
        <w:rPr>
          <w:rFonts w:ascii="Calibri" w:hAnsi="Calibri" w:cs="Calibri"/>
        </w:rPr>
        <w:t xml:space="preserve"> secretariat </w:t>
      </w:r>
      <w:r w:rsidRPr="00EF3B18">
        <w:rPr>
          <w:rFonts w:ascii="Calibri" w:hAnsi="Calibri" w:cs="Calibri"/>
          <w:b/>
          <w:bCs/>
        </w:rPr>
        <w:t>at least one week prior to</w:t>
      </w:r>
      <w:r w:rsidRPr="00EF3B18">
        <w:rPr>
          <w:rFonts w:ascii="Calibri" w:hAnsi="Calibri" w:cs="Calibri"/>
        </w:rPr>
        <w:t xml:space="preserve"> the projected meeting with a proposed agenda. </w:t>
      </w:r>
    </w:p>
    <w:p w14:paraId="4AC2CAD8" w14:textId="499D162E" w:rsidR="00D33CF0" w:rsidRPr="00EF3B18" w:rsidRDefault="00D33CF0" w:rsidP="00011A69">
      <w:pPr>
        <w:spacing w:before="120" w:after="120" w:line="240" w:lineRule="auto"/>
        <w:jc w:val="both"/>
        <w:rPr>
          <w:rFonts w:ascii="Calibri" w:hAnsi="Calibri" w:cs="Calibri"/>
        </w:rPr>
      </w:pPr>
      <w:r w:rsidRPr="00EF3B18">
        <w:rPr>
          <w:rFonts w:ascii="Calibri" w:hAnsi="Calibri" w:cs="Calibri"/>
        </w:rPr>
        <w:t xml:space="preserve">Quorum for meeting is achieved with the participation of </w:t>
      </w:r>
      <w:r w:rsidR="00FE5036">
        <w:rPr>
          <w:rFonts w:ascii="Calibri" w:hAnsi="Calibri" w:cs="Calibri"/>
        </w:rPr>
        <w:t xml:space="preserve">the simple majority (51%) of </w:t>
      </w:r>
      <w:r w:rsidRPr="00EF3B18">
        <w:rPr>
          <w:rFonts w:ascii="Calibri" w:hAnsi="Calibri" w:cs="Calibri"/>
          <w:b/>
          <w:bCs/>
        </w:rPr>
        <w:t xml:space="preserve">members </w:t>
      </w:r>
      <w:r w:rsidR="00F454EF" w:rsidRPr="00EF3B18">
        <w:rPr>
          <w:rFonts w:ascii="Calibri" w:hAnsi="Calibri" w:cs="Calibri"/>
          <w:b/>
          <w:bCs/>
        </w:rPr>
        <w:t>of the Board</w:t>
      </w:r>
      <w:r w:rsidR="00F454EF" w:rsidRPr="00EF3B18">
        <w:rPr>
          <w:rFonts w:ascii="Calibri" w:hAnsi="Calibri" w:cs="Calibri"/>
        </w:rPr>
        <w:t xml:space="preserve"> </w:t>
      </w:r>
      <w:r w:rsidRPr="00EF3B18">
        <w:rPr>
          <w:rFonts w:ascii="Calibri" w:hAnsi="Calibri" w:cs="Calibri"/>
        </w:rPr>
        <w:t xml:space="preserve">which include at least </w:t>
      </w:r>
      <w:r w:rsidRPr="00EF3B18">
        <w:rPr>
          <w:rFonts w:ascii="Calibri" w:hAnsi="Calibri" w:cs="Calibri"/>
          <w:b/>
          <w:bCs/>
        </w:rPr>
        <w:t xml:space="preserve">3 </w:t>
      </w:r>
      <w:r w:rsidRPr="00EF3B18">
        <w:rPr>
          <w:rFonts w:ascii="Calibri" w:hAnsi="Calibri" w:cs="Calibri"/>
        </w:rPr>
        <w:t>members representing the production sector</w:t>
      </w:r>
      <w:r w:rsidR="00F454EF" w:rsidRPr="00EF3B18">
        <w:rPr>
          <w:rFonts w:ascii="Calibri" w:hAnsi="Calibri" w:cs="Calibri"/>
        </w:rPr>
        <w:t>.</w:t>
      </w:r>
    </w:p>
    <w:p w14:paraId="6B6C7D66" w14:textId="2C828617" w:rsidR="00D33CF0" w:rsidRPr="00EF3B18" w:rsidRDefault="00D33CF0" w:rsidP="00011A69">
      <w:pPr>
        <w:spacing w:before="120" w:after="120" w:line="240" w:lineRule="auto"/>
        <w:jc w:val="both"/>
        <w:rPr>
          <w:rFonts w:ascii="Calibri" w:hAnsi="Calibri" w:cs="Calibri"/>
        </w:rPr>
      </w:pPr>
      <w:r w:rsidRPr="00EF3B18">
        <w:rPr>
          <w:rFonts w:ascii="Calibri" w:hAnsi="Calibri" w:cs="Calibri"/>
        </w:rPr>
        <w:t xml:space="preserve">The </w:t>
      </w:r>
      <w:proofErr w:type="spellStart"/>
      <w:r w:rsidRPr="00EF3B18">
        <w:rPr>
          <w:rFonts w:ascii="Calibri" w:hAnsi="Calibri" w:cs="Calibri"/>
        </w:rPr>
        <w:t>BoT</w:t>
      </w:r>
      <w:proofErr w:type="spellEnd"/>
      <w:r w:rsidRPr="00EF3B18">
        <w:rPr>
          <w:rFonts w:ascii="Calibri" w:hAnsi="Calibri" w:cs="Calibri"/>
        </w:rPr>
        <w:t xml:space="preserve"> Secretariat will support the </w:t>
      </w:r>
      <w:proofErr w:type="spellStart"/>
      <w:r w:rsidRPr="00EF3B18">
        <w:rPr>
          <w:rFonts w:ascii="Calibri" w:hAnsi="Calibri" w:cs="Calibri"/>
        </w:rPr>
        <w:t>BoT</w:t>
      </w:r>
      <w:proofErr w:type="spellEnd"/>
      <w:r w:rsidRPr="00EF3B18">
        <w:rPr>
          <w:rFonts w:ascii="Calibri" w:hAnsi="Calibri" w:cs="Calibri"/>
        </w:rPr>
        <w:t xml:space="preserve"> in developing its records of decisions to be submitted to the Board’s approval on a regular basis.</w:t>
      </w:r>
    </w:p>
    <w:p w14:paraId="265EF88C" w14:textId="6A3C393F" w:rsidR="00D33CF0" w:rsidRPr="00EF3B18" w:rsidRDefault="00D33CF0" w:rsidP="00011A69">
      <w:pPr>
        <w:spacing w:before="120" w:after="120" w:line="240" w:lineRule="auto"/>
        <w:jc w:val="both"/>
        <w:rPr>
          <w:rFonts w:ascii="Calibri" w:hAnsi="Calibri" w:cs="Calibri"/>
        </w:rPr>
      </w:pPr>
      <w:r w:rsidRPr="00EF3B18">
        <w:rPr>
          <w:rFonts w:ascii="Calibri" w:hAnsi="Calibri" w:cs="Calibri"/>
        </w:rPr>
        <w:t xml:space="preserve">Guests may be invited to attend meetings of the </w:t>
      </w:r>
      <w:proofErr w:type="spellStart"/>
      <w:r w:rsidRPr="00EF3B18">
        <w:rPr>
          <w:rFonts w:ascii="Calibri" w:hAnsi="Calibri" w:cs="Calibri"/>
        </w:rPr>
        <w:t>BoT</w:t>
      </w:r>
      <w:proofErr w:type="spellEnd"/>
      <w:r w:rsidRPr="00EF3B18">
        <w:rPr>
          <w:rFonts w:ascii="Calibri" w:hAnsi="Calibri" w:cs="Calibri"/>
        </w:rPr>
        <w:t xml:space="preserve"> upon the invitation of one of the </w:t>
      </w:r>
      <w:proofErr w:type="spellStart"/>
      <w:r w:rsidRPr="00EF3B18">
        <w:rPr>
          <w:rFonts w:ascii="Calibri" w:hAnsi="Calibri" w:cs="Calibri"/>
        </w:rPr>
        <w:t>BoT</w:t>
      </w:r>
      <w:proofErr w:type="spellEnd"/>
      <w:r w:rsidRPr="00EF3B18">
        <w:rPr>
          <w:rFonts w:ascii="Calibri" w:hAnsi="Calibri" w:cs="Calibri"/>
        </w:rPr>
        <w:t xml:space="preserve"> members and the approval of the Chair, upon notification. </w:t>
      </w:r>
    </w:p>
    <w:p w14:paraId="236D0D4A" w14:textId="77777777" w:rsidR="00D33CF0" w:rsidRPr="00EF3B18" w:rsidRDefault="00D33CF0" w:rsidP="00011A69">
      <w:pPr>
        <w:spacing w:before="120" w:after="120" w:line="240" w:lineRule="auto"/>
        <w:jc w:val="both"/>
        <w:rPr>
          <w:rFonts w:ascii="Calibri" w:hAnsi="Calibri" w:cs="Calibri"/>
        </w:rPr>
      </w:pPr>
    </w:p>
    <w:p w14:paraId="2E489AA5" w14:textId="5279C94E" w:rsidR="00DA6A3C" w:rsidRPr="00EF3B18" w:rsidRDefault="00DA6A3C" w:rsidP="00DA6A3C">
      <w:pPr>
        <w:pStyle w:val="Heading1"/>
        <w:numPr>
          <w:ilvl w:val="0"/>
          <w:numId w:val="20"/>
        </w:numPr>
        <w:spacing w:line="240" w:lineRule="auto"/>
        <w:ind w:left="360"/>
        <w:rPr>
          <w:rFonts w:ascii="Calibri" w:hAnsi="Calibri" w:cs="Calibri"/>
          <w:color w:val="5F497A" w:themeColor="accent4" w:themeShade="BF"/>
          <w:sz w:val="24"/>
          <w:szCs w:val="24"/>
        </w:rPr>
      </w:pPr>
      <w:bookmarkStart w:id="5" w:name="_Toc76515496"/>
      <w:r w:rsidRPr="00EF3B18">
        <w:rPr>
          <w:rFonts w:ascii="Calibri" w:hAnsi="Calibri" w:cs="Calibri"/>
          <w:color w:val="5F497A" w:themeColor="accent4" w:themeShade="BF"/>
          <w:sz w:val="24"/>
          <w:szCs w:val="24"/>
        </w:rPr>
        <w:t xml:space="preserve">Subcommittees of </w:t>
      </w:r>
      <w:r w:rsidR="00D33CF0" w:rsidRPr="00EF3B18">
        <w:rPr>
          <w:rFonts w:ascii="Calibri" w:hAnsi="Calibri" w:cs="Calibri"/>
          <w:color w:val="5F497A" w:themeColor="accent4" w:themeShade="BF"/>
          <w:sz w:val="24"/>
          <w:szCs w:val="24"/>
        </w:rPr>
        <w:t xml:space="preserve">the </w:t>
      </w:r>
      <w:proofErr w:type="spellStart"/>
      <w:r w:rsidR="00D33CF0" w:rsidRPr="00EF3B18">
        <w:rPr>
          <w:rFonts w:ascii="Calibri" w:hAnsi="Calibri" w:cs="Calibri"/>
          <w:color w:val="5F497A" w:themeColor="accent4" w:themeShade="BF"/>
          <w:sz w:val="24"/>
          <w:szCs w:val="24"/>
        </w:rPr>
        <w:t>BoT</w:t>
      </w:r>
      <w:bookmarkEnd w:id="5"/>
      <w:proofErr w:type="spellEnd"/>
      <w:r w:rsidR="00D33CF0" w:rsidRPr="00EF3B18">
        <w:rPr>
          <w:rFonts w:ascii="Calibri" w:hAnsi="Calibri" w:cs="Calibri"/>
          <w:color w:val="5F497A" w:themeColor="accent4" w:themeShade="BF"/>
          <w:sz w:val="24"/>
          <w:szCs w:val="24"/>
        </w:rPr>
        <w:t xml:space="preserve"> </w:t>
      </w:r>
    </w:p>
    <w:p w14:paraId="7ACE9E67" w14:textId="5CC72B05" w:rsidR="00A26DBC" w:rsidRPr="00EF3B18" w:rsidRDefault="00BB0B0C" w:rsidP="00680D49">
      <w:pPr>
        <w:spacing w:before="240" w:after="0" w:line="240" w:lineRule="auto"/>
        <w:jc w:val="both"/>
        <w:rPr>
          <w:rFonts w:ascii="Calibri" w:hAnsi="Calibri" w:cs="Calibri"/>
        </w:rPr>
      </w:pPr>
      <w:r w:rsidRPr="00EF3B18">
        <w:rPr>
          <w:rFonts w:ascii="Calibri" w:hAnsi="Calibri" w:cs="Calibri"/>
        </w:rPr>
        <w:t xml:space="preserve">It is possible for </w:t>
      </w:r>
      <w:r w:rsidR="00E80E48" w:rsidRPr="00EF3B18">
        <w:rPr>
          <w:rFonts w:ascii="Calibri" w:hAnsi="Calibri" w:cs="Calibri"/>
        </w:rPr>
        <w:t xml:space="preserve">the </w:t>
      </w:r>
      <w:proofErr w:type="spellStart"/>
      <w:r w:rsidR="00D33CF0" w:rsidRPr="00EF3B18">
        <w:rPr>
          <w:rFonts w:ascii="Calibri" w:hAnsi="Calibri" w:cs="Calibri"/>
        </w:rPr>
        <w:t>BoT</w:t>
      </w:r>
      <w:proofErr w:type="spellEnd"/>
      <w:r w:rsidR="00D33CF0" w:rsidRPr="00EF3B18">
        <w:rPr>
          <w:rFonts w:ascii="Calibri" w:hAnsi="Calibri" w:cs="Calibri"/>
        </w:rPr>
        <w:t xml:space="preserve"> to</w:t>
      </w:r>
      <w:r w:rsidRPr="00EF3B18">
        <w:rPr>
          <w:rFonts w:ascii="Calibri" w:hAnsi="Calibri" w:cs="Calibri"/>
        </w:rPr>
        <w:t xml:space="preserve"> establish </w:t>
      </w:r>
      <w:r w:rsidR="00D33CF0" w:rsidRPr="00EF3B18">
        <w:rPr>
          <w:rFonts w:ascii="Calibri" w:hAnsi="Calibri" w:cs="Calibri"/>
        </w:rPr>
        <w:t xml:space="preserve">(a) </w:t>
      </w:r>
      <w:r w:rsidRPr="00EF3B18">
        <w:rPr>
          <w:rFonts w:ascii="Calibri" w:hAnsi="Calibri" w:cs="Calibri"/>
        </w:rPr>
        <w:t>sub-committee</w:t>
      </w:r>
      <w:r w:rsidR="00D33CF0" w:rsidRPr="00EF3B18">
        <w:rPr>
          <w:rFonts w:ascii="Calibri" w:hAnsi="Calibri" w:cs="Calibri"/>
        </w:rPr>
        <w:t>(</w:t>
      </w:r>
      <w:r w:rsidRPr="00EF3B18">
        <w:rPr>
          <w:rFonts w:ascii="Calibri" w:hAnsi="Calibri" w:cs="Calibri"/>
        </w:rPr>
        <w:t>s</w:t>
      </w:r>
      <w:r w:rsidR="00D33CF0" w:rsidRPr="00EF3B18">
        <w:rPr>
          <w:rFonts w:ascii="Calibri" w:hAnsi="Calibri" w:cs="Calibri"/>
        </w:rPr>
        <w:t>)</w:t>
      </w:r>
      <w:r w:rsidRPr="00EF3B18">
        <w:rPr>
          <w:rFonts w:ascii="Calibri" w:hAnsi="Calibri" w:cs="Calibri"/>
        </w:rPr>
        <w:t xml:space="preserve">, </w:t>
      </w:r>
      <w:r w:rsidRPr="00EF3B18">
        <w:rPr>
          <w:rFonts w:ascii="Calibri" w:hAnsi="Calibri" w:cs="Calibri"/>
          <w:b/>
          <w:bCs/>
        </w:rPr>
        <w:t>on a time limited</w:t>
      </w:r>
      <w:r w:rsidR="00D33CF0" w:rsidRPr="00EF3B18">
        <w:rPr>
          <w:rFonts w:ascii="Calibri" w:hAnsi="Calibri" w:cs="Calibri"/>
          <w:b/>
          <w:bCs/>
        </w:rPr>
        <w:t xml:space="preserve"> or permanent</w:t>
      </w:r>
      <w:r w:rsidRPr="00EF3B18">
        <w:rPr>
          <w:rFonts w:ascii="Calibri" w:hAnsi="Calibri" w:cs="Calibri"/>
          <w:b/>
          <w:bCs/>
        </w:rPr>
        <w:t xml:space="preserve"> basis</w:t>
      </w:r>
      <w:r w:rsidRPr="00EF3B18">
        <w:rPr>
          <w:rFonts w:ascii="Calibri" w:hAnsi="Calibri" w:cs="Calibri"/>
        </w:rPr>
        <w:t>, to address</w:t>
      </w:r>
      <w:r w:rsidR="00A26DBC" w:rsidRPr="00EF3B18">
        <w:rPr>
          <w:rFonts w:ascii="Calibri" w:hAnsi="Calibri" w:cs="Calibri"/>
        </w:rPr>
        <w:t xml:space="preserve"> a </w:t>
      </w:r>
      <w:r w:rsidR="00D33CF0" w:rsidRPr="00EF3B18">
        <w:rPr>
          <w:rFonts w:ascii="Calibri" w:hAnsi="Calibri" w:cs="Calibri"/>
        </w:rPr>
        <w:t xml:space="preserve">specific area of </w:t>
      </w:r>
      <w:r w:rsidR="00F454EF" w:rsidRPr="00EF3B18">
        <w:rPr>
          <w:rFonts w:ascii="Calibri" w:hAnsi="Calibri" w:cs="Calibri"/>
        </w:rPr>
        <w:t xml:space="preserve">the Board’s </w:t>
      </w:r>
      <w:r w:rsidR="00D33CF0" w:rsidRPr="00EF3B18">
        <w:rPr>
          <w:rFonts w:ascii="Calibri" w:hAnsi="Calibri" w:cs="Calibri"/>
        </w:rPr>
        <w:t>mandate</w:t>
      </w:r>
      <w:r w:rsidR="00F454EF" w:rsidRPr="00EF3B18">
        <w:rPr>
          <w:rFonts w:ascii="Calibri" w:hAnsi="Calibri" w:cs="Calibri"/>
        </w:rPr>
        <w:t xml:space="preserve">, </w:t>
      </w:r>
      <w:proofErr w:type="gramStart"/>
      <w:r w:rsidR="00F454EF" w:rsidRPr="00EF3B18">
        <w:rPr>
          <w:rFonts w:ascii="Calibri" w:hAnsi="Calibri" w:cs="Calibri"/>
        </w:rPr>
        <w:t>e.g.</w:t>
      </w:r>
      <w:proofErr w:type="gramEnd"/>
      <w:r w:rsidR="00F454EF" w:rsidRPr="00EF3B18">
        <w:rPr>
          <w:rFonts w:ascii="Calibri" w:hAnsi="Calibri" w:cs="Calibri"/>
        </w:rPr>
        <w:t xml:space="preserve"> regulatory development, budget, strategic planning. </w:t>
      </w:r>
    </w:p>
    <w:p w14:paraId="032CC89E" w14:textId="336B8694" w:rsidR="00F454EF" w:rsidRPr="00EF3B18" w:rsidRDefault="00F454EF" w:rsidP="00680D49">
      <w:pPr>
        <w:spacing w:before="240" w:after="0" w:line="240" w:lineRule="auto"/>
        <w:jc w:val="both"/>
        <w:rPr>
          <w:rFonts w:ascii="Calibri" w:hAnsi="Calibri" w:cs="Calibri"/>
        </w:rPr>
      </w:pPr>
      <w:r w:rsidRPr="00EF3B18">
        <w:rPr>
          <w:rFonts w:ascii="Calibri" w:hAnsi="Calibri" w:cs="Calibri"/>
        </w:rPr>
        <w:t xml:space="preserve">The Subcommittee will be made of members of the </w:t>
      </w:r>
      <w:proofErr w:type="spellStart"/>
      <w:r w:rsidRPr="00EF3B18">
        <w:rPr>
          <w:rFonts w:ascii="Calibri" w:hAnsi="Calibri" w:cs="Calibri"/>
        </w:rPr>
        <w:t>BoT</w:t>
      </w:r>
      <w:proofErr w:type="spellEnd"/>
      <w:r w:rsidRPr="00EF3B18">
        <w:rPr>
          <w:rFonts w:ascii="Calibri" w:hAnsi="Calibri" w:cs="Calibri"/>
        </w:rPr>
        <w:t xml:space="preserve">, with the possible involvement of guest members, having expertise and / or experience in the scope of the projected subcommittee. </w:t>
      </w:r>
    </w:p>
    <w:p w14:paraId="40E8E610" w14:textId="44090905" w:rsidR="00DA6A3C" w:rsidRPr="00EF3B18" w:rsidRDefault="00F454EF" w:rsidP="00F454EF">
      <w:pPr>
        <w:spacing w:before="240" w:after="0" w:line="240" w:lineRule="auto"/>
        <w:jc w:val="both"/>
        <w:rPr>
          <w:rFonts w:ascii="Calibri" w:hAnsi="Calibri" w:cs="Calibri"/>
        </w:rPr>
      </w:pPr>
      <w:r w:rsidRPr="00EF3B18">
        <w:rPr>
          <w:rFonts w:ascii="Calibri" w:hAnsi="Calibri" w:cs="Calibri"/>
        </w:rPr>
        <w:t>A</w:t>
      </w:r>
      <w:r w:rsidR="00DA6A3C" w:rsidRPr="00EF3B18">
        <w:rPr>
          <w:rFonts w:ascii="Calibri" w:hAnsi="Calibri" w:cs="Calibri"/>
        </w:rPr>
        <w:t xml:space="preserve"> subcommittee will be assigned clear terms of reference set </w:t>
      </w:r>
      <w:r w:rsidRPr="00EF3B18">
        <w:rPr>
          <w:rFonts w:ascii="Calibri" w:hAnsi="Calibri" w:cs="Calibri"/>
        </w:rPr>
        <w:t xml:space="preserve">and endorsed by the </w:t>
      </w:r>
      <w:proofErr w:type="spellStart"/>
      <w:r w:rsidRPr="00EF3B18">
        <w:rPr>
          <w:rFonts w:ascii="Calibri" w:hAnsi="Calibri" w:cs="Calibri"/>
        </w:rPr>
        <w:t>BoT.</w:t>
      </w:r>
      <w:proofErr w:type="spellEnd"/>
      <w:r w:rsidRPr="00EF3B18">
        <w:rPr>
          <w:rFonts w:ascii="Calibri" w:hAnsi="Calibri" w:cs="Calibri"/>
        </w:rPr>
        <w:t xml:space="preserve"> </w:t>
      </w:r>
      <w:r w:rsidR="00DA6A3C" w:rsidRPr="00EF3B18">
        <w:rPr>
          <w:rFonts w:ascii="Calibri" w:hAnsi="Calibri" w:cs="Calibri"/>
        </w:rPr>
        <w:t xml:space="preserve"> </w:t>
      </w:r>
    </w:p>
    <w:p w14:paraId="10AEF86D" w14:textId="55561729" w:rsidR="007B76C2" w:rsidRPr="00EF3B18" w:rsidRDefault="00F454EF" w:rsidP="00A26DBC">
      <w:pPr>
        <w:spacing w:before="240" w:after="0" w:line="240" w:lineRule="auto"/>
        <w:jc w:val="both"/>
        <w:rPr>
          <w:rFonts w:ascii="Calibri" w:hAnsi="Calibri" w:cs="Calibri"/>
        </w:rPr>
      </w:pPr>
      <w:r w:rsidRPr="00EF3B18">
        <w:rPr>
          <w:rFonts w:ascii="Calibri" w:hAnsi="Calibri" w:cs="Calibri"/>
        </w:rPr>
        <w:t>A</w:t>
      </w:r>
      <w:r w:rsidR="00BB0B0C" w:rsidRPr="00EF3B18">
        <w:rPr>
          <w:rFonts w:ascii="Calibri" w:hAnsi="Calibri" w:cs="Calibri"/>
        </w:rPr>
        <w:t xml:space="preserve"> subcommittee</w:t>
      </w:r>
      <w:r w:rsidRPr="00EF3B18">
        <w:rPr>
          <w:rFonts w:ascii="Calibri" w:hAnsi="Calibri" w:cs="Calibri"/>
        </w:rPr>
        <w:t xml:space="preserve"> is to be </w:t>
      </w:r>
      <w:r w:rsidR="00BB0B0C" w:rsidRPr="00EF3B18">
        <w:rPr>
          <w:rFonts w:ascii="Calibri" w:hAnsi="Calibri" w:cs="Calibri"/>
          <w:b/>
          <w:bCs/>
        </w:rPr>
        <w:t>chaired</w:t>
      </w:r>
      <w:r w:rsidR="00BB0B0C" w:rsidRPr="00EF3B18">
        <w:rPr>
          <w:rFonts w:ascii="Calibri" w:hAnsi="Calibri" w:cs="Calibri"/>
        </w:rPr>
        <w:t xml:space="preserve"> by </w:t>
      </w:r>
      <w:r w:rsidR="00A26DBC" w:rsidRPr="00EF3B18">
        <w:rPr>
          <w:rFonts w:ascii="Calibri" w:hAnsi="Calibri" w:cs="Calibri"/>
        </w:rPr>
        <w:t xml:space="preserve">a designated member, as established in their terms of </w:t>
      </w:r>
      <w:proofErr w:type="gramStart"/>
      <w:r w:rsidR="00A26DBC" w:rsidRPr="00EF3B18">
        <w:rPr>
          <w:rFonts w:ascii="Calibri" w:hAnsi="Calibri" w:cs="Calibri"/>
        </w:rPr>
        <w:t>reference</w:t>
      </w:r>
      <w:proofErr w:type="gramEnd"/>
      <w:r w:rsidR="00A26DBC" w:rsidRPr="00EF3B18">
        <w:rPr>
          <w:rFonts w:ascii="Calibri" w:hAnsi="Calibri" w:cs="Calibri"/>
        </w:rPr>
        <w:t xml:space="preserve"> and agreed to by the </w:t>
      </w:r>
      <w:proofErr w:type="spellStart"/>
      <w:r w:rsidRPr="00EF3B18">
        <w:rPr>
          <w:rFonts w:ascii="Calibri" w:hAnsi="Calibri" w:cs="Calibri"/>
        </w:rPr>
        <w:t>BoT</w:t>
      </w:r>
      <w:proofErr w:type="spellEnd"/>
      <w:r w:rsidRPr="00EF3B18">
        <w:rPr>
          <w:rFonts w:ascii="Calibri" w:hAnsi="Calibri" w:cs="Calibri"/>
        </w:rPr>
        <w:t>,</w:t>
      </w:r>
      <w:r w:rsidR="00A26DBC" w:rsidRPr="00EF3B18">
        <w:rPr>
          <w:rFonts w:ascii="Calibri" w:hAnsi="Calibri" w:cs="Calibri"/>
        </w:rPr>
        <w:t xml:space="preserve"> upon the creation</w:t>
      </w:r>
      <w:r w:rsidRPr="00EF3B18">
        <w:rPr>
          <w:rFonts w:ascii="Calibri" w:hAnsi="Calibri" w:cs="Calibri"/>
        </w:rPr>
        <w:t xml:space="preserve"> of the Subcommittee.</w:t>
      </w:r>
    </w:p>
    <w:p w14:paraId="767ABB2A" w14:textId="77777777" w:rsidR="00870694" w:rsidRPr="00EF3B18" w:rsidRDefault="00870694" w:rsidP="00FC4860">
      <w:pPr>
        <w:suppressAutoHyphens/>
        <w:spacing w:before="120" w:after="0" w:line="240" w:lineRule="auto"/>
        <w:jc w:val="both"/>
        <w:rPr>
          <w:rFonts w:ascii="Calibri" w:hAnsi="Calibri" w:cs="Calibri"/>
          <w:color w:val="000000"/>
        </w:rPr>
      </w:pPr>
    </w:p>
    <w:p w14:paraId="299AC4E8" w14:textId="77777777" w:rsidR="00840148" w:rsidRPr="00EF3B18" w:rsidRDefault="00840148" w:rsidP="00840148">
      <w:pPr>
        <w:pStyle w:val="Heading1"/>
        <w:numPr>
          <w:ilvl w:val="0"/>
          <w:numId w:val="20"/>
        </w:numPr>
        <w:spacing w:line="240" w:lineRule="auto"/>
        <w:ind w:left="360"/>
        <w:rPr>
          <w:rFonts w:ascii="Calibri" w:hAnsi="Calibri" w:cs="Calibri"/>
          <w:color w:val="5F497A" w:themeColor="accent4" w:themeShade="BF"/>
          <w:sz w:val="24"/>
          <w:szCs w:val="24"/>
        </w:rPr>
      </w:pPr>
      <w:bookmarkStart w:id="6" w:name="_Toc76515497"/>
      <w:r w:rsidRPr="00EF3B18">
        <w:rPr>
          <w:rFonts w:ascii="Calibri" w:hAnsi="Calibri" w:cs="Calibri"/>
          <w:color w:val="5F497A" w:themeColor="accent4" w:themeShade="BF"/>
          <w:sz w:val="24"/>
          <w:szCs w:val="24"/>
        </w:rPr>
        <w:t>Technical and Financial Resources</w:t>
      </w:r>
      <w:bookmarkEnd w:id="6"/>
    </w:p>
    <w:p w14:paraId="04278E2B" w14:textId="77777777" w:rsidR="00F454EF" w:rsidRPr="00EF3B18" w:rsidRDefault="00F454EF" w:rsidP="00840148">
      <w:pPr>
        <w:spacing w:before="120" w:after="0" w:line="240" w:lineRule="auto"/>
        <w:jc w:val="both"/>
        <w:rPr>
          <w:rFonts w:ascii="Calibri" w:hAnsi="Calibri" w:cs="Calibri"/>
          <w:color w:val="000000"/>
        </w:rPr>
      </w:pPr>
      <w:r w:rsidRPr="00EF3B18">
        <w:rPr>
          <w:rFonts w:ascii="Calibri" w:hAnsi="Calibri" w:cs="Calibri"/>
          <w:color w:val="000000"/>
        </w:rPr>
        <w:t xml:space="preserve">NIVS </w:t>
      </w:r>
      <w:r w:rsidR="00840148" w:rsidRPr="00EF3B18">
        <w:rPr>
          <w:rFonts w:ascii="Calibri" w:hAnsi="Calibri" w:cs="Calibri"/>
          <w:color w:val="000000"/>
        </w:rPr>
        <w:t xml:space="preserve">will provide the logistical and administrative assistance to the work of the </w:t>
      </w:r>
      <w:proofErr w:type="spellStart"/>
      <w:r w:rsidRPr="00EF3B18">
        <w:rPr>
          <w:rFonts w:ascii="Calibri" w:hAnsi="Calibri" w:cs="Calibri"/>
          <w:color w:val="000000"/>
        </w:rPr>
        <w:t>BoT</w:t>
      </w:r>
      <w:proofErr w:type="spellEnd"/>
      <w:r w:rsidR="00A26DBC" w:rsidRPr="00EF3B18">
        <w:rPr>
          <w:rFonts w:ascii="Calibri" w:hAnsi="Calibri" w:cs="Calibri"/>
          <w:color w:val="000000"/>
        </w:rPr>
        <w:t xml:space="preserve"> </w:t>
      </w:r>
      <w:r w:rsidR="007B76C2" w:rsidRPr="00EF3B18">
        <w:rPr>
          <w:rFonts w:ascii="Calibri" w:hAnsi="Calibri" w:cs="Calibri"/>
          <w:color w:val="000000"/>
        </w:rPr>
        <w:t>and its Subcommittees as may be relevant</w:t>
      </w:r>
      <w:r w:rsidR="00840148" w:rsidRPr="00EF3B18">
        <w:rPr>
          <w:rFonts w:ascii="Calibri" w:hAnsi="Calibri" w:cs="Calibri"/>
          <w:color w:val="000000"/>
        </w:rPr>
        <w:t xml:space="preserve">. </w:t>
      </w:r>
    </w:p>
    <w:p w14:paraId="5749266A" w14:textId="3A9F2178" w:rsidR="00F454EF" w:rsidRPr="00EF3B18" w:rsidRDefault="003C15D4" w:rsidP="00840148">
      <w:pPr>
        <w:spacing w:before="120" w:after="0" w:line="240" w:lineRule="auto"/>
        <w:jc w:val="both"/>
        <w:rPr>
          <w:rFonts w:ascii="Calibri" w:hAnsi="Calibri" w:cs="Calibri"/>
          <w:color w:val="000000"/>
        </w:rPr>
      </w:pPr>
      <w:r>
        <w:rPr>
          <w:rFonts w:ascii="Calibri" w:hAnsi="Calibri" w:cs="Calibri"/>
          <w:color w:val="000000"/>
        </w:rPr>
        <w:t xml:space="preserve">It is possible for the CEO to appoint a </w:t>
      </w:r>
      <w:r w:rsidR="00F454EF" w:rsidRPr="00EF3B18">
        <w:rPr>
          <w:rFonts w:ascii="Calibri" w:hAnsi="Calibri" w:cs="Calibri"/>
          <w:color w:val="000000"/>
        </w:rPr>
        <w:t xml:space="preserve">liaison officer to serve as a focal point </w:t>
      </w:r>
      <w:r>
        <w:rPr>
          <w:rFonts w:ascii="Calibri" w:hAnsi="Calibri" w:cs="Calibri"/>
          <w:color w:val="000000"/>
        </w:rPr>
        <w:t>to</w:t>
      </w:r>
      <w:r w:rsidR="00F454EF" w:rsidRPr="00EF3B18">
        <w:rPr>
          <w:rFonts w:ascii="Calibri" w:hAnsi="Calibri" w:cs="Calibri"/>
          <w:color w:val="000000"/>
        </w:rPr>
        <w:t xml:space="preserve"> the </w:t>
      </w:r>
      <w:proofErr w:type="spellStart"/>
      <w:r w:rsidR="00F454EF" w:rsidRPr="00EF3B18">
        <w:rPr>
          <w:rFonts w:ascii="Calibri" w:hAnsi="Calibri" w:cs="Calibri"/>
          <w:color w:val="000000"/>
        </w:rPr>
        <w:t>BoT.</w:t>
      </w:r>
      <w:proofErr w:type="spellEnd"/>
      <w:r w:rsidR="00F454EF" w:rsidRPr="00EF3B18">
        <w:rPr>
          <w:rFonts w:ascii="Calibri" w:hAnsi="Calibri" w:cs="Calibri"/>
          <w:color w:val="000000"/>
        </w:rPr>
        <w:t xml:space="preserve"> </w:t>
      </w:r>
    </w:p>
    <w:p w14:paraId="0A3DC21C" w14:textId="6B08A81F" w:rsidR="00840148" w:rsidRPr="00EF3B18" w:rsidRDefault="00840148" w:rsidP="00840148">
      <w:pPr>
        <w:spacing w:before="120" w:after="0" w:line="240" w:lineRule="auto"/>
        <w:jc w:val="both"/>
        <w:rPr>
          <w:rFonts w:ascii="Calibri" w:hAnsi="Calibri" w:cs="Calibri"/>
          <w:color w:val="000000"/>
        </w:rPr>
      </w:pPr>
      <w:r w:rsidRPr="00EF3B18">
        <w:rPr>
          <w:rFonts w:ascii="Calibri" w:hAnsi="Calibri" w:cs="Calibri"/>
          <w:color w:val="000000"/>
        </w:rPr>
        <w:t xml:space="preserve">All costs associated with the </w:t>
      </w:r>
      <w:proofErr w:type="spellStart"/>
      <w:r w:rsidR="00F454EF" w:rsidRPr="00EF3B18">
        <w:rPr>
          <w:rFonts w:ascii="Calibri" w:hAnsi="Calibri" w:cs="Calibri"/>
          <w:color w:val="000000"/>
        </w:rPr>
        <w:t>BoT</w:t>
      </w:r>
      <w:proofErr w:type="spellEnd"/>
      <w:r w:rsidR="00F454EF" w:rsidRPr="00EF3B18">
        <w:rPr>
          <w:rFonts w:ascii="Calibri" w:hAnsi="Calibri" w:cs="Calibri"/>
          <w:color w:val="000000"/>
        </w:rPr>
        <w:t xml:space="preserve"> </w:t>
      </w:r>
      <w:r w:rsidRPr="00EF3B18">
        <w:rPr>
          <w:rFonts w:ascii="Calibri" w:hAnsi="Calibri" w:cs="Calibri"/>
          <w:color w:val="000000"/>
        </w:rPr>
        <w:t>member</w:t>
      </w:r>
      <w:r w:rsidR="00C77DD4" w:rsidRPr="00EF3B18">
        <w:rPr>
          <w:rFonts w:ascii="Calibri" w:hAnsi="Calibri" w:cs="Calibri"/>
          <w:color w:val="000000"/>
        </w:rPr>
        <w:t>s’</w:t>
      </w:r>
      <w:r w:rsidRPr="00EF3B18">
        <w:rPr>
          <w:rFonts w:ascii="Calibri" w:hAnsi="Calibri" w:cs="Calibri"/>
          <w:color w:val="000000"/>
        </w:rPr>
        <w:t xml:space="preserve"> participation and contribution to the physical meetings </w:t>
      </w:r>
      <w:r w:rsidR="000E47BA" w:rsidRPr="00EF3B18">
        <w:rPr>
          <w:rFonts w:ascii="Calibri" w:hAnsi="Calibri" w:cs="Calibri"/>
          <w:color w:val="000000"/>
        </w:rPr>
        <w:t xml:space="preserve">of the Committee </w:t>
      </w:r>
      <w:r w:rsidRPr="00EF3B18">
        <w:rPr>
          <w:rFonts w:ascii="Calibri" w:hAnsi="Calibri" w:cs="Calibri"/>
          <w:color w:val="000000"/>
        </w:rPr>
        <w:t xml:space="preserve">will be covered by </w:t>
      </w:r>
      <w:r w:rsidR="00F454EF" w:rsidRPr="00EF3B18">
        <w:rPr>
          <w:rFonts w:ascii="Calibri" w:hAnsi="Calibri" w:cs="Calibri"/>
          <w:color w:val="000000"/>
        </w:rPr>
        <w:t>NIVS</w:t>
      </w:r>
      <w:r w:rsidRPr="00EF3B18">
        <w:rPr>
          <w:rFonts w:ascii="Calibri" w:hAnsi="Calibri" w:cs="Calibri"/>
          <w:color w:val="000000"/>
        </w:rPr>
        <w:t xml:space="preserve">. </w:t>
      </w:r>
    </w:p>
    <w:p w14:paraId="46268DEB" w14:textId="100CE731" w:rsidR="00F454EF" w:rsidRPr="00EF3B18" w:rsidRDefault="00F454EF" w:rsidP="00840148">
      <w:pPr>
        <w:spacing w:before="120" w:after="0" w:line="240" w:lineRule="auto"/>
        <w:jc w:val="both"/>
        <w:rPr>
          <w:rFonts w:ascii="Calibri" w:hAnsi="Calibri" w:cs="Calibri"/>
          <w:color w:val="000000"/>
        </w:rPr>
      </w:pPr>
      <w:r w:rsidRPr="00EF3B18">
        <w:rPr>
          <w:rFonts w:ascii="Calibri" w:hAnsi="Calibri" w:cs="Calibri"/>
          <w:color w:val="000000"/>
        </w:rPr>
        <w:t xml:space="preserve">A symbolic honorarium will be awarded to NIVS </w:t>
      </w:r>
      <w:proofErr w:type="spellStart"/>
      <w:r w:rsidRPr="00EF3B18">
        <w:rPr>
          <w:rFonts w:ascii="Calibri" w:hAnsi="Calibri" w:cs="Calibri"/>
          <w:color w:val="000000"/>
        </w:rPr>
        <w:t>BoT</w:t>
      </w:r>
      <w:proofErr w:type="spellEnd"/>
      <w:r w:rsidRPr="00EF3B18">
        <w:rPr>
          <w:rFonts w:ascii="Calibri" w:hAnsi="Calibri" w:cs="Calibri"/>
          <w:color w:val="000000"/>
        </w:rPr>
        <w:t xml:space="preserve"> members, as per the operations of the Government of Suriname.</w:t>
      </w:r>
    </w:p>
    <w:p w14:paraId="33704888" w14:textId="6A8F0D3C" w:rsidR="00BB0B0C" w:rsidRPr="00EF3B18" w:rsidRDefault="00BB0B0C" w:rsidP="00BB0B0C">
      <w:pPr>
        <w:pStyle w:val="Heading1"/>
        <w:numPr>
          <w:ilvl w:val="0"/>
          <w:numId w:val="20"/>
        </w:numPr>
        <w:spacing w:line="240" w:lineRule="auto"/>
        <w:ind w:left="360"/>
        <w:rPr>
          <w:rFonts w:ascii="Calibri" w:hAnsi="Calibri" w:cs="Calibri"/>
          <w:color w:val="5F497A" w:themeColor="accent4" w:themeShade="BF"/>
          <w:sz w:val="24"/>
          <w:szCs w:val="24"/>
        </w:rPr>
      </w:pPr>
      <w:bookmarkStart w:id="7" w:name="_Toc76515498"/>
      <w:r w:rsidRPr="00EF3B18">
        <w:rPr>
          <w:rFonts w:ascii="Calibri" w:hAnsi="Calibri" w:cs="Calibri"/>
          <w:color w:val="5F497A" w:themeColor="accent4" w:themeShade="BF"/>
          <w:sz w:val="24"/>
          <w:szCs w:val="24"/>
        </w:rPr>
        <w:t>Commitment to Transparency</w:t>
      </w:r>
      <w:bookmarkEnd w:id="7"/>
      <w:r w:rsidRPr="00EF3B18">
        <w:rPr>
          <w:rFonts w:ascii="Calibri" w:hAnsi="Calibri" w:cs="Calibri"/>
          <w:color w:val="5F497A" w:themeColor="accent4" w:themeShade="BF"/>
          <w:sz w:val="24"/>
          <w:szCs w:val="24"/>
        </w:rPr>
        <w:t xml:space="preserve"> </w:t>
      </w:r>
    </w:p>
    <w:p w14:paraId="3468CC3E" w14:textId="32A67AA0" w:rsidR="00BB0B0C" w:rsidRPr="00EF3B18" w:rsidRDefault="00BB0B0C" w:rsidP="0026657B">
      <w:pPr>
        <w:spacing w:before="120"/>
        <w:jc w:val="both"/>
        <w:rPr>
          <w:rFonts w:ascii="Calibri" w:hAnsi="Calibri" w:cs="Calibri"/>
          <w:color w:val="000000"/>
        </w:rPr>
      </w:pPr>
      <w:r w:rsidRPr="00EF3B18">
        <w:rPr>
          <w:rFonts w:ascii="Calibri" w:hAnsi="Calibri" w:cs="Calibri"/>
          <w:color w:val="000000"/>
        </w:rPr>
        <w:t xml:space="preserve">As part of its aspiration to </w:t>
      </w:r>
      <w:r w:rsidR="00C77DD4" w:rsidRPr="00EF3B18">
        <w:rPr>
          <w:rFonts w:ascii="Calibri" w:hAnsi="Calibri" w:cs="Calibri"/>
          <w:color w:val="000000"/>
        </w:rPr>
        <w:t xml:space="preserve">adopt </w:t>
      </w:r>
      <w:r w:rsidR="0034699C">
        <w:rPr>
          <w:rFonts w:ascii="Calibri" w:hAnsi="Calibri" w:cs="Calibri"/>
          <w:color w:val="000000"/>
        </w:rPr>
        <w:t xml:space="preserve">the </w:t>
      </w:r>
      <w:r w:rsidR="00C77DD4" w:rsidRPr="00EF3B18">
        <w:rPr>
          <w:rFonts w:ascii="Calibri" w:hAnsi="Calibri" w:cs="Calibri"/>
          <w:color w:val="000000"/>
        </w:rPr>
        <w:t>best food regulatory practices</w:t>
      </w:r>
      <w:r w:rsidRPr="00EF3B18">
        <w:rPr>
          <w:rFonts w:ascii="Calibri" w:hAnsi="Calibri" w:cs="Calibri"/>
          <w:color w:val="000000"/>
        </w:rPr>
        <w:t xml:space="preserve">, </w:t>
      </w:r>
      <w:r w:rsidR="00F454EF" w:rsidRPr="00EF3B18">
        <w:rPr>
          <w:rFonts w:ascii="Calibri" w:hAnsi="Calibri" w:cs="Calibri"/>
          <w:color w:val="000000"/>
        </w:rPr>
        <w:t>NIVS is</w:t>
      </w:r>
      <w:r w:rsidR="00C77DD4" w:rsidRPr="00EF3B18">
        <w:rPr>
          <w:rFonts w:ascii="Calibri" w:hAnsi="Calibri" w:cs="Calibri"/>
          <w:color w:val="000000"/>
        </w:rPr>
        <w:t xml:space="preserve"> </w:t>
      </w:r>
      <w:r w:rsidRPr="00EF3B18">
        <w:rPr>
          <w:rFonts w:ascii="Calibri" w:hAnsi="Calibri" w:cs="Calibri"/>
          <w:color w:val="000000"/>
        </w:rPr>
        <w:t>committed to transparency</w:t>
      </w:r>
      <w:r w:rsidR="00D91BB4" w:rsidRPr="00EF3B18">
        <w:rPr>
          <w:rFonts w:ascii="Calibri" w:hAnsi="Calibri" w:cs="Calibri"/>
          <w:color w:val="000000"/>
        </w:rPr>
        <w:t xml:space="preserve"> </w:t>
      </w:r>
      <w:r w:rsidR="00F454EF" w:rsidRPr="00EF3B18">
        <w:rPr>
          <w:rFonts w:ascii="Calibri" w:hAnsi="Calibri" w:cs="Calibri"/>
          <w:color w:val="000000"/>
        </w:rPr>
        <w:t>of its food regulatory and operational activities.</w:t>
      </w:r>
    </w:p>
    <w:p w14:paraId="3A735345" w14:textId="340DC8AD" w:rsidR="00BB0B0C" w:rsidRPr="00EF3B18" w:rsidRDefault="00F454EF" w:rsidP="00F454EF">
      <w:pPr>
        <w:spacing w:before="120"/>
        <w:jc w:val="both"/>
        <w:rPr>
          <w:rFonts w:ascii="Calibri" w:hAnsi="Calibri" w:cs="Calibri"/>
          <w:color w:val="000000"/>
        </w:rPr>
      </w:pPr>
      <w:r w:rsidRPr="00EF3B18">
        <w:rPr>
          <w:rFonts w:ascii="Calibri" w:hAnsi="Calibri" w:cs="Calibri"/>
          <w:color w:val="000000"/>
        </w:rPr>
        <w:lastRenderedPageBreak/>
        <w:t>NIVS</w:t>
      </w:r>
      <w:r w:rsidR="00C77DD4" w:rsidRPr="00EF3B18">
        <w:rPr>
          <w:rFonts w:ascii="Calibri" w:hAnsi="Calibri" w:cs="Calibri"/>
          <w:color w:val="000000"/>
        </w:rPr>
        <w:t xml:space="preserve"> is committed</w:t>
      </w:r>
      <w:r w:rsidR="00BB0B0C" w:rsidRPr="00EF3B18">
        <w:rPr>
          <w:rFonts w:ascii="Calibri" w:hAnsi="Calibri" w:cs="Calibri"/>
          <w:color w:val="000000"/>
        </w:rPr>
        <w:t xml:space="preserve"> to making available information related to the work and deliberations of </w:t>
      </w:r>
      <w:r w:rsidRPr="00EF3B18">
        <w:rPr>
          <w:rFonts w:ascii="Calibri" w:hAnsi="Calibri" w:cs="Calibri"/>
          <w:color w:val="000000"/>
        </w:rPr>
        <w:t xml:space="preserve">its </w:t>
      </w:r>
      <w:proofErr w:type="spellStart"/>
      <w:r w:rsidRPr="00EF3B18">
        <w:rPr>
          <w:rFonts w:ascii="Calibri" w:hAnsi="Calibri" w:cs="Calibri"/>
          <w:color w:val="000000"/>
        </w:rPr>
        <w:t>BoT</w:t>
      </w:r>
      <w:proofErr w:type="spellEnd"/>
      <w:r w:rsidRPr="00EF3B18">
        <w:rPr>
          <w:rFonts w:ascii="Calibri" w:hAnsi="Calibri" w:cs="Calibri"/>
          <w:color w:val="000000"/>
        </w:rPr>
        <w:t xml:space="preserve"> </w:t>
      </w:r>
      <w:r w:rsidR="00BB0B0C" w:rsidRPr="00EF3B18">
        <w:rPr>
          <w:rFonts w:ascii="Calibri" w:hAnsi="Calibri" w:cs="Calibri"/>
          <w:color w:val="000000"/>
        </w:rPr>
        <w:t xml:space="preserve">and its </w:t>
      </w:r>
      <w:r w:rsidR="007B76C2" w:rsidRPr="00EF3B18">
        <w:rPr>
          <w:rFonts w:ascii="Calibri" w:hAnsi="Calibri" w:cs="Calibri"/>
          <w:color w:val="000000"/>
        </w:rPr>
        <w:t>S</w:t>
      </w:r>
      <w:r w:rsidR="00BB0B0C" w:rsidRPr="00EF3B18">
        <w:rPr>
          <w:rFonts w:ascii="Calibri" w:hAnsi="Calibri" w:cs="Calibri"/>
          <w:color w:val="000000"/>
        </w:rPr>
        <w:t>ubcommittees as required.</w:t>
      </w:r>
      <w:r w:rsidRPr="00EF3B18">
        <w:rPr>
          <w:rFonts w:ascii="Calibri" w:hAnsi="Calibri" w:cs="Calibri"/>
          <w:color w:val="000000"/>
        </w:rPr>
        <w:t xml:space="preserve"> </w:t>
      </w:r>
      <w:r w:rsidR="00BB0B0C" w:rsidRPr="00EF3B18">
        <w:rPr>
          <w:rFonts w:ascii="Calibri" w:hAnsi="Calibri" w:cs="Calibri"/>
          <w:color w:val="000000"/>
        </w:rPr>
        <w:t xml:space="preserve">This includes making available the composition of </w:t>
      </w:r>
      <w:r w:rsidR="00C77DD4" w:rsidRPr="00EF3B18">
        <w:rPr>
          <w:rFonts w:ascii="Calibri" w:hAnsi="Calibri" w:cs="Calibri"/>
          <w:color w:val="000000"/>
        </w:rPr>
        <w:t xml:space="preserve">the </w:t>
      </w:r>
      <w:r w:rsidRPr="00EF3B18">
        <w:rPr>
          <w:rFonts w:ascii="Calibri" w:hAnsi="Calibri" w:cs="Calibri"/>
          <w:color w:val="000000"/>
        </w:rPr>
        <w:t>Board</w:t>
      </w:r>
      <w:r w:rsidR="00BB0B0C" w:rsidRPr="00EF3B18">
        <w:rPr>
          <w:rFonts w:ascii="Calibri" w:hAnsi="Calibri" w:cs="Calibri"/>
          <w:color w:val="000000"/>
        </w:rPr>
        <w:t xml:space="preserve">, disclosure of conflicts of interest, where relevant, publication of records of decisions and reports </w:t>
      </w:r>
      <w:r w:rsidRPr="00EF3B18">
        <w:rPr>
          <w:rFonts w:ascii="Calibri" w:hAnsi="Calibri" w:cs="Calibri"/>
          <w:color w:val="000000"/>
        </w:rPr>
        <w:t xml:space="preserve">issued by the </w:t>
      </w:r>
      <w:proofErr w:type="spellStart"/>
      <w:r w:rsidRPr="00EF3B18">
        <w:rPr>
          <w:rFonts w:ascii="Calibri" w:hAnsi="Calibri" w:cs="Calibri"/>
          <w:color w:val="000000"/>
        </w:rPr>
        <w:t>BoT.</w:t>
      </w:r>
      <w:proofErr w:type="spellEnd"/>
      <w:r w:rsidRPr="00EF3B18">
        <w:rPr>
          <w:rFonts w:ascii="Calibri" w:hAnsi="Calibri" w:cs="Calibri"/>
          <w:color w:val="000000"/>
        </w:rPr>
        <w:t xml:space="preserve"> </w:t>
      </w:r>
      <w:r w:rsidR="00C77DD4" w:rsidRPr="00EF3B18">
        <w:rPr>
          <w:rFonts w:ascii="Calibri" w:hAnsi="Calibri" w:cs="Calibri"/>
          <w:color w:val="000000"/>
        </w:rPr>
        <w:t xml:space="preserve"> </w:t>
      </w:r>
    </w:p>
    <w:p w14:paraId="0FD8579D" w14:textId="79A5CF70" w:rsidR="00F454EF" w:rsidRPr="00EF3B18" w:rsidRDefault="00F454EF" w:rsidP="00F454EF">
      <w:pPr>
        <w:spacing w:before="120"/>
        <w:jc w:val="both"/>
        <w:rPr>
          <w:rFonts w:ascii="Calibri" w:hAnsi="Calibri" w:cs="Calibri"/>
          <w:color w:val="000000"/>
        </w:rPr>
      </w:pPr>
    </w:p>
    <w:p w14:paraId="6913FEBC" w14:textId="3F2066A9" w:rsidR="00F454EF" w:rsidRPr="00EF3B18" w:rsidRDefault="00F454EF" w:rsidP="00F454EF">
      <w:pPr>
        <w:spacing w:before="120"/>
        <w:jc w:val="both"/>
        <w:rPr>
          <w:rFonts w:ascii="Calibri" w:hAnsi="Calibri" w:cs="Calibri"/>
          <w:color w:val="000000"/>
        </w:rPr>
      </w:pPr>
    </w:p>
    <w:p w14:paraId="590F3E9B" w14:textId="38E198A6" w:rsidR="00F454EF" w:rsidRPr="00EF3B18" w:rsidRDefault="00F454EF" w:rsidP="00F454EF">
      <w:pPr>
        <w:spacing w:before="120"/>
        <w:jc w:val="both"/>
        <w:rPr>
          <w:rFonts w:ascii="Calibri" w:hAnsi="Calibri" w:cs="Calibri"/>
          <w:color w:val="000000"/>
        </w:rPr>
      </w:pPr>
    </w:p>
    <w:p w14:paraId="41A9F810" w14:textId="592480FA" w:rsidR="00F454EF" w:rsidRPr="00EF3B18" w:rsidRDefault="00F454EF" w:rsidP="00F454EF">
      <w:pPr>
        <w:spacing w:before="120"/>
        <w:jc w:val="both"/>
        <w:rPr>
          <w:rFonts w:ascii="Calibri" w:hAnsi="Calibri" w:cs="Calibri"/>
          <w:color w:val="000000"/>
        </w:rPr>
      </w:pPr>
      <w:r w:rsidRPr="00EF3B18">
        <w:rPr>
          <w:rFonts w:ascii="Calibri" w:hAnsi="Calibri" w:cs="Calibri"/>
          <w:color w:val="000000"/>
        </w:rPr>
        <w:t xml:space="preserve">Developed and endorsed by the </w:t>
      </w:r>
      <w:proofErr w:type="spellStart"/>
      <w:r w:rsidRPr="00EF3B18">
        <w:rPr>
          <w:rFonts w:ascii="Calibri" w:hAnsi="Calibri" w:cs="Calibri"/>
          <w:color w:val="000000"/>
        </w:rPr>
        <w:t>BoT</w:t>
      </w:r>
      <w:proofErr w:type="spellEnd"/>
      <w:r w:rsidRPr="00EF3B18">
        <w:rPr>
          <w:rFonts w:ascii="Calibri" w:hAnsi="Calibri" w:cs="Calibri"/>
          <w:color w:val="000000"/>
        </w:rPr>
        <w:t xml:space="preserve"> during its meeting of </w:t>
      </w:r>
      <w:r w:rsidR="00E40FFC">
        <w:rPr>
          <w:rFonts w:ascii="Calibri" w:hAnsi="Calibri" w:cs="Calibri"/>
          <w:color w:val="000000"/>
        </w:rPr>
        <w:t xml:space="preserve">the </w:t>
      </w:r>
      <w:r w:rsidR="00A00CDC">
        <w:rPr>
          <w:rFonts w:ascii="Calibri" w:hAnsi="Calibri" w:cs="Calibri"/>
          <w:color w:val="000000"/>
        </w:rPr>
        <w:t>13</w:t>
      </w:r>
      <w:r w:rsidR="00E40FFC" w:rsidRPr="00E40FFC">
        <w:rPr>
          <w:rFonts w:ascii="Calibri" w:hAnsi="Calibri" w:cs="Calibri"/>
          <w:color w:val="000000"/>
          <w:vertAlign w:val="superscript"/>
        </w:rPr>
        <w:t>th</w:t>
      </w:r>
      <w:r w:rsidR="00E40FFC">
        <w:rPr>
          <w:rFonts w:ascii="Calibri" w:hAnsi="Calibri" w:cs="Calibri"/>
          <w:color w:val="000000"/>
        </w:rPr>
        <w:t xml:space="preserve"> of</w:t>
      </w:r>
      <w:r w:rsidR="00A00CDC">
        <w:rPr>
          <w:rFonts w:ascii="Calibri" w:hAnsi="Calibri" w:cs="Calibri"/>
          <w:color w:val="000000"/>
        </w:rPr>
        <w:t xml:space="preserve"> August 2022.</w:t>
      </w:r>
    </w:p>
    <w:p w14:paraId="6A5A56BD" w14:textId="26BE8A1F" w:rsidR="00F454EF" w:rsidRPr="00EF3B18" w:rsidRDefault="00F454EF" w:rsidP="00F454EF">
      <w:pPr>
        <w:spacing w:before="120"/>
        <w:jc w:val="both"/>
        <w:rPr>
          <w:rFonts w:ascii="Calibri" w:hAnsi="Calibri" w:cs="Calibri"/>
          <w:color w:val="000000"/>
        </w:rPr>
      </w:pPr>
    </w:p>
    <w:p w14:paraId="76C58B98" w14:textId="0DA8A803" w:rsidR="00F454EF" w:rsidRDefault="00E40FFC" w:rsidP="00F454EF">
      <w:pPr>
        <w:spacing w:before="120"/>
        <w:jc w:val="both"/>
        <w:rPr>
          <w:rFonts w:ascii="Calibri" w:hAnsi="Calibri" w:cs="Calibri"/>
          <w:color w:val="000000"/>
        </w:rPr>
      </w:pPr>
      <w:r w:rsidRPr="00E40FFC">
        <w:rPr>
          <w:rFonts w:ascii="Calibri" w:hAnsi="Calibri" w:cs="Calibri"/>
          <w:b/>
          <w:bCs/>
          <w:color w:val="000000"/>
        </w:rPr>
        <w:t xml:space="preserve">For </w:t>
      </w:r>
      <w:r>
        <w:rPr>
          <w:rFonts w:ascii="Calibri" w:hAnsi="Calibri" w:cs="Calibri"/>
          <w:color w:val="000000"/>
        </w:rPr>
        <w:t xml:space="preserve">the Board of Trustees, </w:t>
      </w:r>
    </w:p>
    <w:p w14:paraId="1A4239E2" w14:textId="79B34ED1" w:rsidR="00E40FFC" w:rsidRDefault="00E40FFC" w:rsidP="00F454EF">
      <w:pPr>
        <w:spacing w:before="120"/>
        <w:jc w:val="both"/>
        <w:rPr>
          <w:rFonts w:ascii="Calibri" w:hAnsi="Calibri" w:cs="Calibri"/>
          <w:color w:val="000000"/>
        </w:rPr>
      </w:pPr>
    </w:p>
    <w:p w14:paraId="6EE39F36" w14:textId="6F18EF10" w:rsidR="00E40FFC" w:rsidRDefault="00E40FFC" w:rsidP="00F454EF">
      <w:pPr>
        <w:spacing w:before="120"/>
        <w:jc w:val="both"/>
        <w:rPr>
          <w:rFonts w:ascii="Calibri" w:hAnsi="Calibri" w:cs="Calibri"/>
          <w:color w:val="000000"/>
        </w:rPr>
      </w:pPr>
    </w:p>
    <w:p w14:paraId="2A98247C" w14:textId="6DB7ACEA" w:rsidR="00E40FFC" w:rsidRDefault="00E40FFC" w:rsidP="00F454EF">
      <w:pPr>
        <w:spacing w:before="120"/>
        <w:jc w:val="both"/>
        <w:rPr>
          <w:rFonts w:ascii="Calibri" w:hAnsi="Calibri" w:cs="Calibri"/>
          <w:color w:val="000000"/>
        </w:rPr>
      </w:pPr>
      <w:r>
        <w:rPr>
          <w:rFonts w:ascii="Calibri" w:hAnsi="Calibri" w:cs="Calibri"/>
          <w:color w:val="000000"/>
        </w:rPr>
        <w:t xml:space="preserve">Parveen </w:t>
      </w:r>
      <w:proofErr w:type="spellStart"/>
      <w:r>
        <w:rPr>
          <w:rFonts w:ascii="Calibri" w:hAnsi="Calibri" w:cs="Calibri"/>
          <w:color w:val="000000"/>
        </w:rPr>
        <w:t>Amritpersad</w:t>
      </w:r>
      <w:proofErr w:type="spellEnd"/>
      <w:r>
        <w:rPr>
          <w:rFonts w:ascii="Calibri" w:hAnsi="Calibri" w:cs="Calibri"/>
          <w:color w:val="000000"/>
        </w:rPr>
        <w:t>,</w:t>
      </w:r>
    </w:p>
    <w:p w14:paraId="4C97B2DF" w14:textId="56790A19" w:rsidR="00E40FFC" w:rsidRPr="00EF3B18" w:rsidRDefault="00E40FFC" w:rsidP="00F454EF">
      <w:pPr>
        <w:spacing w:before="120"/>
        <w:jc w:val="both"/>
        <w:rPr>
          <w:rFonts w:ascii="Calibri" w:hAnsi="Calibri" w:cs="Calibri"/>
          <w:color w:val="000000"/>
        </w:rPr>
      </w:pPr>
      <w:r>
        <w:rPr>
          <w:rFonts w:ascii="Calibri" w:hAnsi="Calibri" w:cs="Calibri"/>
          <w:color w:val="000000"/>
        </w:rPr>
        <w:t>Chair of the Board of Trustees, NIVS</w:t>
      </w:r>
    </w:p>
    <w:p w14:paraId="126585BF" w14:textId="5BC8A6C9" w:rsidR="00F454EF" w:rsidRPr="00EF3B18" w:rsidRDefault="00F454EF" w:rsidP="00F454EF">
      <w:pPr>
        <w:spacing w:before="120"/>
        <w:jc w:val="both"/>
        <w:rPr>
          <w:rFonts w:ascii="Calibri" w:hAnsi="Calibri" w:cs="Calibri"/>
          <w:color w:val="000000"/>
        </w:rPr>
      </w:pPr>
    </w:p>
    <w:p w14:paraId="3BB341EA" w14:textId="66F48021" w:rsidR="00F454EF" w:rsidRPr="00EF3B18" w:rsidRDefault="00F454EF" w:rsidP="00F454EF">
      <w:pPr>
        <w:spacing w:before="120"/>
        <w:jc w:val="both"/>
        <w:rPr>
          <w:rFonts w:ascii="Calibri" w:hAnsi="Calibri" w:cs="Calibri"/>
          <w:color w:val="000000"/>
        </w:rPr>
      </w:pPr>
    </w:p>
    <w:p w14:paraId="484964ED" w14:textId="50535C94" w:rsidR="00C86520" w:rsidRPr="00EF3B18" w:rsidRDefault="00C86520" w:rsidP="00C86520">
      <w:pPr>
        <w:spacing w:before="120" w:after="0" w:line="240" w:lineRule="auto"/>
        <w:jc w:val="both"/>
        <w:rPr>
          <w:rFonts w:ascii="Calibri" w:hAnsi="Calibri" w:cs="Calibri"/>
          <w:color w:val="000000"/>
        </w:rPr>
      </w:pPr>
    </w:p>
    <w:sectPr w:rsidR="00C86520" w:rsidRPr="00EF3B18" w:rsidSect="00F1305D">
      <w:headerReference w:type="even" r:id="rId11"/>
      <w:headerReference w:type="default" r:id="rId12"/>
      <w:footerReference w:type="default" r:id="rId13"/>
      <w:headerReference w:type="firs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4473" w14:textId="77777777" w:rsidR="00077CF7" w:rsidRDefault="00077CF7" w:rsidP="006E6FB5">
      <w:pPr>
        <w:spacing w:after="0" w:line="240" w:lineRule="auto"/>
      </w:pPr>
      <w:r>
        <w:separator/>
      </w:r>
    </w:p>
  </w:endnote>
  <w:endnote w:type="continuationSeparator" w:id="0">
    <w:p w14:paraId="66D6B8D5" w14:textId="77777777" w:rsidR="00077CF7" w:rsidRDefault="00077CF7" w:rsidP="006E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 w:name="Times">
    <w:altName w:val="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80209"/>
      <w:docPartObj>
        <w:docPartGallery w:val="Page Numbers (Bottom of Page)"/>
        <w:docPartUnique/>
      </w:docPartObj>
    </w:sdtPr>
    <w:sdtEndPr>
      <w:rPr>
        <w:color w:val="7F7F7F" w:themeColor="background1" w:themeShade="7F"/>
        <w:spacing w:val="60"/>
      </w:rPr>
    </w:sdtEndPr>
    <w:sdtContent>
      <w:p w14:paraId="15614804" w14:textId="3CE0CCFF" w:rsidR="00B33746" w:rsidRDefault="00B33746" w:rsidP="00B33746">
        <w:pPr>
          <w:pStyle w:val="Footer"/>
          <w:pBdr>
            <w:top w:val="single" w:sz="4" w:space="1" w:color="D9D9D9" w:themeColor="background1" w:themeShade="D9"/>
          </w:pBdr>
          <w:jc w:val="center"/>
        </w:pPr>
        <w:r w:rsidRPr="00AB1308">
          <w:rPr>
            <w:noProof/>
            <w:lang w:val="en-US" w:eastAsia="zh-TW"/>
          </w:rPr>
          <mc:AlternateContent>
            <mc:Choice Requires="wpg">
              <w:drawing>
                <wp:anchor distT="0" distB="0" distL="114300" distR="114300" simplePos="0" relativeHeight="251673600" behindDoc="0" locked="0" layoutInCell="1" allowOverlap="1" wp14:anchorId="3D3D3171" wp14:editId="324ECB47">
                  <wp:simplePos x="0" y="0"/>
                  <wp:positionH relativeFrom="column">
                    <wp:posOffset>19050</wp:posOffset>
                  </wp:positionH>
                  <wp:positionV relativeFrom="paragraph">
                    <wp:posOffset>55880</wp:posOffset>
                  </wp:positionV>
                  <wp:extent cx="182880" cy="182880"/>
                  <wp:effectExtent l="57150" t="57150" r="45720" b="64770"/>
                  <wp:wrapNone/>
                  <wp:docPr id="11" name="Group 16">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82880" cy="182880"/>
                            <a:chOff x="0" y="0"/>
                            <a:chExt cx="914400" cy="914400"/>
                          </a:xfrm>
                        </wpg:grpSpPr>
                        <wps:wsp>
                          <wps:cNvPr id="12" name="Rounded Rectangle 12"/>
                          <wps:cNvSpPr/>
                          <wps:spPr>
                            <a:xfrm>
                              <a:off x="0" y="0"/>
                              <a:ext cx="914400" cy="914400"/>
                            </a:xfrm>
                            <a:prstGeom prst="roundRect">
                              <a:avLst/>
                            </a:prstGeom>
                            <a:solidFill>
                              <a:schemeClr val="bg1"/>
                            </a:solidFill>
                            <a:ln>
                              <a:solidFill>
                                <a:schemeClr val="bg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Isosceles Triangle 13"/>
                          <wps:cNvSpPr/>
                          <wps:spPr>
                            <a:xfrm>
                              <a:off x="44420" y="58633"/>
                              <a:ext cx="822960" cy="640080"/>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D14544" id="Group 16" o:spid="_x0000_s1026" href="#_top" style="position:absolute;margin-left:1.5pt;margin-top:4.4pt;width:14.4pt;height:14.4pt;z-index:251673600;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" o:button="t">
                  <v:roundrect id="Rounded Rectangle 12" o:spid="_x0000_s1027" style="position:absolute;width:9144;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" fillcolor="white [3212]" strokecolor="white [3212]"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8" type="#_x0000_t5" style="position:absolute;left:444;top:586;width:8229;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" fillcolor="black [3213]" strokecolor="white [3212]" strokeweight="2pt"/>
                </v:group>
              </w:pict>
            </mc:Fallback>
          </mc:AlternateContent>
        </w:r>
        <w:r>
          <w:fldChar w:fldCharType="begin"/>
        </w:r>
        <w:r>
          <w:instrText xml:space="preserve"> PAGE   \* MERGEFORMAT </w:instrText>
        </w:r>
        <w:r>
          <w:fldChar w:fldCharType="separate"/>
        </w:r>
        <w:r w:rsidR="002F595B">
          <w:rPr>
            <w:noProof/>
          </w:rPr>
          <w:t>8</w:t>
        </w:r>
        <w:r>
          <w:rPr>
            <w:noProof/>
          </w:rPr>
          <w:fldChar w:fldCharType="end"/>
        </w:r>
        <w:r>
          <w:t xml:space="preserve"> | </w:t>
        </w:r>
        <w:r>
          <w:rPr>
            <w:color w:val="7F7F7F" w:themeColor="background1" w:themeShade="7F"/>
            <w:spacing w:val="60"/>
          </w:rPr>
          <w:t>Page</w:t>
        </w:r>
      </w:p>
    </w:sdtContent>
  </w:sdt>
  <w:p w14:paraId="0E40E158" w14:textId="2F4813DD" w:rsidR="002C527B" w:rsidRDefault="002C527B" w:rsidP="00B33746">
    <w:pPr>
      <w:pStyle w:val="Footer"/>
      <w:tabs>
        <w:tab w:val="clear" w:pos="4513"/>
        <w:tab w:val="clear" w:pos="9026"/>
        <w:tab w:val="left" w:pos="5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4882" w14:textId="77777777" w:rsidR="00077CF7" w:rsidRDefault="00077CF7" w:rsidP="006E6FB5">
      <w:pPr>
        <w:spacing w:after="0" w:line="240" w:lineRule="auto"/>
      </w:pPr>
      <w:r>
        <w:separator/>
      </w:r>
    </w:p>
  </w:footnote>
  <w:footnote w:type="continuationSeparator" w:id="0">
    <w:p w14:paraId="35A27AA1" w14:textId="77777777" w:rsidR="00077CF7" w:rsidRDefault="00077CF7" w:rsidP="006E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EFE" w14:textId="5E80E79D" w:rsidR="002F595B" w:rsidRDefault="00077CF7">
    <w:pPr>
      <w:pStyle w:val="Header"/>
    </w:pPr>
    <w:r>
      <w:rPr>
        <w:noProof/>
      </w:rPr>
      <w:pict w14:anchorId="733EE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81063" o:spid="_x0000_s1030"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FA57" w14:textId="74E62855" w:rsidR="002E3697" w:rsidRDefault="00077CF7" w:rsidP="002E3697">
    <w:pPr>
      <w:widowControl w:val="0"/>
      <w:autoSpaceDE w:val="0"/>
      <w:autoSpaceDN w:val="0"/>
      <w:adjustRightInd w:val="0"/>
      <w:spacing w:after="0" w:line="240" w:lineRule="auto"/>
      <w:rPr>
        <w:rFonts w:ascii="Calibri" w:hAnsi="Calibri" w:cs="Calibri"/>
        <w:lang w:val="en-US"/>
      </w:rPr>
    </w:pPr>
    <w:r>
      <w:rPr>
        <w:noProof/>
      </w:rPr>
      <w:pict w14:anchorId="00750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81064" o:spid="_x0000_s1029" type="#_x0000_t136" alt="" style="position:absolute;margin-left:0;margin-top:0;width:397.65pt;height:238.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E1A50" w:rsidRPr="002E3697">
      <w:rPr>
        <w:lang w:val="en-US"/>
      </w:rPr>
      <w:tab/>
    </w:r>
    <w:r w:rsidR="008E1A50" w:rsidRPr="002E3697">
      <w:rPr>
        <w:lang w:val="en-US"/>
      </w:rPr>
      <w:tab/>
    </w:r>
  </w:p>
  <w:p w14:paraId="7D0A90EA" w14:textId="77777777" w:rsidR="002E3697" w:rsidRDefault="002E3697" w:rsidP="002E3697">
    <w:pPr>
      <w:widowControl w:val="0"/>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w:t>
    </w:r>
  </w:p>
  <w:p w14:paraId="2D05386A" w14:textId="0E89B022" w:rsidR="008E1A50" w:rsidRPr="002E3697" w:rsidRDefault="002E3697" w:rsidP="002E3697">
    <w:pPr>
      <w:pStyle w:val="Header"/>
      <w:tabs>
        <w:tab w:val="clear" w:pos="9026"/>
        <w:tab w:val="left" w:pos="265"/>
        <w:tab w:val="center" w:pos="4368"/>
        <w:tab w:val="left" w:pos="5187"/>
        <w:tab w:val="right" w:pos="7347"/>
        <w:tab w:val="right" w:pos="9027"/>
      </w:tabs>
      <w:ind w:left="-284"/>
      <w:jc w:val="center"/>
      <w:rPr>
        <w:lang w:val="en-US"/>
      </w:rPr>
    </w:pPr>
    <w:r w:rsidRPr="002E3697">
      <w:rPr>
        <w:rFonts w:ascii="Calibri" w:hAnsi="Calibri" w:cs="Calibri"/>
        <w:noProof/>
        <w:lang w:val="en-US" w:eastAsia="zh-CN"/>
      </w:rPr>
      <w:t xml:space="preserve"> </w:t>
    </w:r>
  </w:p>
  <w:p w14:paraId="2F335821" w14:textId="77777777" w:rsidR="00C74724" w:rsidRDefault="00C74724" w:rsidP="008E1A50">
    <w:pPr>
      <w:pStyle w:val="Header"/>
      <w:tabs>
        <w:tab w:val="left" w:pos="265"/>
        <w:tab w:val="center" w:pos="4368"/>
        <w:tab w:val="left" w:pos="5187"/>
        <w:tab w:val="right" w:pos="7347"/>
      </w:tabs>
      <w:spacing w:before="120"/>
      <w:ind w:left="-288"/>
      <w:jc w:val="center"/>
      <w:rPr>
        <w:b/>
        <w:sz w:val="20"/>
        <w:szCs w:val="20"/>
      </w:rPr>
    </w:pPr>
  </w:p>
  <w:p w14:paraId="333E7700" w14:textId="3FE95302" w:rsidR="00C74724" w:rsidRPr="002E3697" w:rsidRDefault="00C74724" w:rsidP="00AB70B8">
    <w:pPr>
      <w:pStyle w:val="Header"/>
      <w:tabs>
        <w:tab w:val="left" w:pos="265"/>
        <w:tab w:val="center" w:pos="4368"/>
        <w:tab w:val="left" w:pos="5187"/>
        <w:tab w:val="right" w:pos="7347"/>
      </w:tabs>
      <w:spacing w:before="120"/>
      <w:ind w:left="-288"/>
      <w:jc w:val="cent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DCD2" w14:textId="1D5EE9FA" w:rsidR="002F595B" w:rsidRDefault="00077CF7">
    <w:pPr>
      <w:pStyle w:val="Header"/>
    </w:pPr>
    <w:r>
      <w:rPr>
        <w:noProof/>
      </w:rPr>
      <w:pict w14:anchorId="0DEFE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81062" o:spid="_x0000_s1028" type="#_x0000_t136" alt="" style="position:absolute;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CED2" w14:textId="6819869E" w:rsidR="001366D9" w:rsidRDefault="00077CF7">
    <w:pPr>
      <w:pStyle w:val="Header"/>
    </w:pPr>
    <w:r>
      <w:rPr>
        <w:noProof/>
      </w:rPr>
      <w:pict w14:anchorId="11D5D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81066" o:spid="_x0000_s1027" type="#_x0000_t136" alt="" style="position:absolute;margin-left:0;margin-top:0;width:397.65pt;height:238.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17CA" w14:textId="4A8704CF" w:rsidR="001366D9" w:rsidRPr="002F595B" w:rsidRDefault="002F595B" w:rsidP="002F595B">
    <w:pPr>
      <w:spacing w:before="120" w:after="120" w:line="240" w:lineRule="auto"/>
      <w:jc w:val="center"/>
    </w:pPr>
    <w:r w:rsidRPr="00E5000F">
      <w:rPr>
        <w:rFonts w:ascii="Calibri" w:hAnsi="Calibri"/>
        <w:bCs/>
        <w:noProof/>
        <w:lang w:val="en-US" w:eastAsia="zh-TW"/>
      </w:rPr>
      <w:drawing>
        <wp:anchor distT="0" distB="0" distL="114300" distR="114300" simplePos="0" relativeHeight="251675648" behindDoc="1" locked="0" layoutInCell="1" allowOverlap="1" wp14:anchorId="4F3A46C3" wp14:editId="66630A64">
          <wp:simplePos x="0" y="0"/>
          <wp:positionH relativeFrom="column">
            <wp:posOffset>0</wp:posOffset>
          </wp:positionH>
          <wp:positionV relativeFrom="paragraph">
            <wp:posOffset>-19685</wp:posOffset>
          </wp:positionV>
          <wp:extent cx="5724525" cy="349885"/>
          <wp:effectExtent l="0" t="0" r="9525" b="0"/>
          <wp:wrapNone/>
          <wp:docPr id="8"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5724525" cy="349885"/>
                  </a:xfrm>
                  <a:prstGeom prst="round2DiagRect">
                    <a:avLst/>
                  </a:prstGeom>
                  <a:gradFill>
                    <a:gsLst>
                      <a:gs pos="100000">
                        <a:schemeClr val="accent4">
                          <a:lumMod val="75000"/>
                        </a:schemeClr>
                      </a:gs>
                      <a:gs pos="0">
                        <a:schemeClr val="accent4">
                          <a:lumMod val="60000"/>
                          <a:lumOff val="40000"/>
                        </a:schemeClr>
                      </a:gs>
                    </a:gsLst>
                    <a:lin ang="5400000" scaled="0"/>
                  </a:gradFill>
                </pic:spPr>
              </pic:pic>
            </a:graphicData>
          </a:graphic>
          <wp14:sizeRelH relativeFrom="margin">
            <wp14:pctWidth>0</wp14:pctWidth>
          </wp14:sizeRelH>
          <wp14:sizeRelV relativeFrom="margin">
            <wp14:pctHeight>0</wp14:pctHeight>
          </wp14:sizeRelV>
        </wp:anchor>
      </w:drawing>
    </w:r>
    <w:r w:rsidR="000271F9">
      <w:rPr>
        <w:rFonts w:eastAsia="Batang" w:cstheme="minorHAnsi"/>
        <w:bCs/>
        <w:i/>
        <w:iCs/>
        <w:sz w:val="20"/>
        <w:szCs w:val="20"/>
        <w:lang w:val="en-US" w:eastAsia="ko-KR"/>
      </w:rPr>
      <w:t xml:space="preserve">Board of Trustees – NIVS </w:t>
    </w:r>
    <w:r w:rsidR="00B33746" w:rsidRPr="002F595B">
      <w:rPr>
        <w:rFonts w:eastAsia="Batang" w:cstheme="minorHAnsi"/>
        <w:bCs/>
        <w:i/>
        <w:iCs/>
        <w:sz w:val="20"/>
        <w:szCs w:val="20"/>
        <w:lang w:val="en-US" w:eastAsia="ko-KR"/>
      </w:rPr>
      <w:t>– Terms of Reference</w:t>
    </w:r>
    <w:r w:rsidR="00077CF7">
      <w:rPr>
        <w:noProof/>
      </w:rPr>
      <w:pict w14:anchorId="6F5FF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81067" o:spid="_x0000_s1026" type="#_x0000_t136" alt="" style="position:absolute;left:0;text-align:left;margin-left:0;margin-top:0;width:397.65pt;height:238.6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A36C" w14:textId="67DEFB5A" w:rsidR="001366D9" w:rsidRDefault="00077CF7">
    <w:pPr>
      <w:pStyle w:val="Header"/>
    </w:pPr>
    <w:r>
      <w:rPr>
        <w:noProof/>
      </w:rPr>
      <w:pict w14:anchorId="27EC8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81065" o:spid="_x0000_s1025" type="#_x0000_t136" alt="" style="position:absolute;margin-left:0;margin-top:0;width:397.65pt;height:238.6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B5"/>
    <w:multiLevelType w:val="hybridMultilevel"/>
    <w:tmpl w:val="58C4AC28"/>
    <w:lvl w:ilvl="0" w:tplc="24BA4D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11B"/>
    <w:multiLevelType w:val="hybridMultilevel"/>
    <w:tmpl w:val="8202E9D4"/>
    <w:lvl w:ilvl="0" w:tplc="C9DA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17666"/>
    <w:multiLevelType w:val="hybridMultilevel"/>
    <w:tmpl w:val="D07A7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4B195F"/>
    <w:multiLevelType w:val="multilevel"/>
    <w:tmpl w:val="670494A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4" w15:restartNumberingAfterBreak="0">
    <w:nsid w:val="0C292A79"/>
    <w:multiLevelType w:val="hybridMultilevel"/>
    <w:tmpl w:val="9684AF94"/>
    <w:lvl w:ilvl="0" w:tplc="4502D186">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2047"/>
    <w:multiLevelType w:val="hybridMultilevel"/>
    <w:tmpl w:val="5BBA65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6462"/>
    <w:multiLevelType w:val="multilevel"/>
    <w:tmpl w:val="A320B09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15:restartNumberingAfterBreak="0">
    <w:nsid w:val="141B77FD"/>
    <w:multiLevelType w:val="hybridMultilevel"/>
    <w:tmpl w:val="81066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4BEA"/>
    <w:multiLevelType w:val="hybridMultilevel"/>
    <w:tmpl w:val="4EE28C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7F2B"/>
    <w:multiLevelType w:val="hybridMultilevel"/>
    <w:tmpl w:val="C97C55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51C16"/>
    <w:multiLevelType w:val="hybridMultilevel"/>
    <w:tmpl w:val="84182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07C0D"/>
    <w:multiLevelType w:val="hybridMultilevel"/>
    <w:tmpl w:val="40B02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1430A"/>
    <w:multiLevelType w:val="hybridMultilevel"/>
    <w:tmpl w:val="133682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473B"/>
    <w:multiLevelType w:val="multilevel"/>
    <w:tmpl w:val="26BC77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D00C98"/>
    <w:multiLevelType w:val="multilevel"/>
    <w:tmpl w:val="F5601CFC"/>
    <w:lvl w:ilvl="0">
      <w:start w:val="1"/>
      <w:numFmt w:val="decimal"/>
      <w:lvlText w:val="%1."/>
      <w:lvlJc w:val="left"/>
      <w:pPr>
        <w:ind w:left="360" w:hanging="360"/>
      </w:pPr>
      <w:rPr>
        <w:rFonts w:hint="default"/>
        <w:color w:val="000000"/>
      </w:rPr>
    </w:lvl>
    <w:lvl w:ilvl="1">
      <w:start w:val="3"/>
      <w:numFmt w:val="decimal"/>
      <w:lvlText w:val="%1.%2"/>
      <w:lvlJc w:val="left"/>
      <w:pPr>
        <w:ind w:left="644"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5" w15:restartNumberingAfterBreak="0">
    <w:nsid w:val="27FF0A12"/>
    <w:multiLevelType w:val="hybridMultilevel"/>
    <w:tmpl w:val="F44CB0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C0D94"/>
    <w:multiLevelType w:val="multilevel"/>
    <w:tmpl w:val="D13A5C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8F485D"/>
    <w:multiLevelType w:val="hybridMultilevel"/>
    <w:tmpl w:val="A58A4208"/>
    <w:lvl w:ilvl="0" w:tplc="EF2AB426">
      <w:start w:val="3"/>
      <w:numFmt w:val="bullet"/>
      <w:lvlText w:val="-"/>
      <w:lvlJc w:val="left"/>
      <w:pPr>
        <w:ind w:left="720" w:hanging="360"/>
      </w:pPr>
      <w:rPr>
        <w:rFonts w:ascii="Calibri" w:eastAsiaTheme="minorHAnsi" w:hAnsi="Calibri"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27D2C"/>
    <w:multiLevelType w:val="hybridMultilevel"/>
    <w:tmpl w:val="00DA1470"/>
    <w:lvl w:ilvl="0" w:tplc="C9DA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D098B"/>
    <w:multiLevelType w:val="hybridMultilevel"/>
    <w:tmpl w:val="DFDC7B0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834A7"/>
    <w:multiLevelType w:val="multilevel"/>
    <w:tmpl w:val="44CE1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D66014"/>
    <w:multiLevelType w:val="multilevel"/>
    <w:tmpl w:val="5522687E"/>
    <w:lvl w:ilvl="0">
      <w:start w:val="2"/>
      <w:numFmt w:val="decimal"/>
      <w:lvlText w:val="%1"/>
      <w:lvlJc w:val="left"/>
      <w:pPr>
        <w:ind w:left="360" w:hanging="360"/>
      </w:pPr>
      <w:rPr>
        <w:rFonts w:hint="default"/>
        <w:b w:val="0"/>
      </w:rPr>
    </w:lvl>
    <w:lvl w:ilvl="1">
      <w:start w:val="2"/>
      <w:numFmt w:val="lowerLetter"/>
      <w:lvlText w:val="(%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2" w15:restartNumberingAfterBreak="0">
    <w:nsid w:val="37C07A2B"/>
    <w:multiLevelType w:val="hybridMultilevel"/>
    <w:tmpl w:val="00DA1470"/>
    <w:lvl w:ilvl="0" w:tplc="C9DA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96450"/>
    <w:multiLevelType w:val="hybridMultilevel"/>
    <w:tmpl w:val="53ECEED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5A765E4"/>
    <w:multiLevelType w:val="hybridMultilevel"/>
    <w:tmpl w:val="C9BCB36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B44F1"/>
    <w:multiLevelType w:val="hybridMultilevel"/>
    <w:tmpl w:val="47D2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2619E"/>
    <w:multiLevelType w:val="hybridMultilevel"/>
    <w:tmpl w:val="6C520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32B6A"/>
    <w:multiLevelType w:val="hybridMultilevel"/>
    <w:tmpl w:val="00DA1470"/>
    <w:lvl w:ilvl="0" w:tplc="C9DA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A48FC"/>
    <w:multiLevelType w:val="hybridMultilevel"/>
    <w:tmpl w:val="3D648D8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10D6"/>
    <w:multiLevelType w:val="hybridMultilevel"/>
    <w:tmpl w:val="F63AC4B4"/>
    <w:lvl w:ilvl="0" w:tplc="59C0748E">
      <w:start w:val="1"/>
      <w:numFmt w:val="lowerLetter"/>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581D2579"/>
    <w:multiLevelType w:val="multilevel"/>
    <w:tmpl w:val="BC88573A"/>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31" w15:restartNumberingAfterBreak="0">
    <w:nsid w:val="59085AB6"/>
    <w:multiLevelType w:val="multilevel"/>
    <w:tmpl w:val="9E2EC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1C1B1E"/>
    <w:multiLevelType w:val="hybridMultilevel"/>
    <w:tmpl w:val="00DA1470"/>
    <w:lvl w:ilvl="0" w:tplc="C9DA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6400C"/>
    <w:multiLevelType w:val="hybridMultilevel"/>
    <w:tmpl w:val="A9C0B2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17E68"/>
    <w:multiLevelType w:val="multilevel"/>
    <w:tmpl w:val="77D6A97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823ED6"/>
    <w:multiLevelType w:val="hybridMultilevel"/>
    <w:tmpl w:val="00DA1470"/>
    <w:lvl w:ilvl="0" w:tplc="C9DA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C1289"/>
    <w:multiLevelType w:val="multilevel"/>
    <w:tmpl w:val="44CE1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144853"/>
    <w:multiLevelType w:val="multilevel"/>
    <w:tmpl w:val="ECB2EC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295082"/>
    <w:multiLevelType w:val="hybridMultilevel"/>
    <w:tmpl w:val="FAA07E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A4949"/>
    <w:multiLevelType w:val="hybridMultilevel"/>
    <w:tmpl w:val="8AB4C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3958A3"/>
    <w:multiLevelType w:val="hybridMultilevel"/>
    <w:tmpl w:val="76203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930BE"/>
    <w:multiLevelType w:val="multilevel"/>
    <w:tmpl w:val="29FE616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864114"/>
    <w:multiLevelType w:val="hybridMultilevel"/>
    <w:tmpl w:val="A7E8FF2E"/>
    <w:lvl w:ilvl="0" w:tplc="9CF27EB6">
      <w:start w:val="1"/>
      <w:numFmt w:val="decimal"/>
      <w:lvlText w:val="%1."/>
      <w:lvlJc w:val="left"/>
      <w:pPr>
        <w:ind w:left="1080" w:hanging="720"/>
      </w:pPr>
      <w:rPr>
        <w:rFonts w:hint="default"/>
      </w:rPr>
    </w:lvl>
    <w:lvl w:ilvl="1" w:tplc="3424A4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2D7602"/>
    <w:multiLevelType w:val="multilevel"/>
    <w:tmpl w:val="00CCFE2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6E7425AD"/>
    <w:multiLevelType w:val="hybridMultilevel"/>
    <w:tmpl w:val="320418A0"/>
    <w:lvl w:ilvl="0" w:tplc="0CA0B444">
      <w:start w:val="4"/>
      <w:numFmt w:val="bullet"/>
      <w:lvlText w:val="-"/>
      <w:lvlJc w:val="left"/>
      <w:pPr>
        <w:ind w:left="360" w:hanging="360"/>
      </w:pPr>
      <w:rPr>
        <w:rFonts w:ascii="Calibri" w:eastAsiaTheme="minorHAnsi" w:hAnsi="Calibri" w:cstheme="minorBidi"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DC5F09"/>
    <w:multiLevelType w:val="multilevel"/>
    <w:tmpl w:val="9F26E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24219B5"/>
    <w:multiLevelType w:val="hybridMultilevel"/>
    <w:tmpl w:val="130AE7A8"/>
    <w:lvl w:ilvl="0" w:tplc="0CA0B44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F3882"/>
    <w:multiLevelType w:val="hybridMultilevel"/>
    <w:tmpl w:val="00DA1470"/>
    <w:lvl w:ilvl="0" w:tplc="C9DA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4095B"/>
    <w:multiLevelType w:val="multilevel"/>
    <w:tmpl w:val="26BC77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EB07279"/>
    <w:multiLevelType w:val="multilevel"/>
    <w:tmpl w:val="AABEC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63406132">
    <w:abstractNumId w:val="2"/>
  </w:num>
  <w:num w:numId="2" w16cid:durableId="312637123">
    <w:abstractNumId w:val="41"/>
  </w:num>
  <w:num w:numId="3" w16cid:durableId="329069356">
    <w:abstractNumId w:val="29"/>
  </w:num>
  <w:num w:numId="4" w16cid:durableId="915554264">
    <w:abstractNumId w:val="37"/>
  </w:num>
  <w:num w:numId="5" w16cid:durableId="1085111416">
    <w:abstractNumId w:val="6"/>
  </w:num>
  <w:num w:numId="6" w16cid:durableId="163865907">
    <w:abstractNumId w:val="34"/>
  </w:num>
  <w:num w:numId="7" w16cid:durableId="1733190585">
    <w:abstractNumId w:val="48"/>
  </w:num>
  <w:num w:numId="8" w16cid:durableId="1492401982">
    <w:abstractNumId w:val="13"/>
  </w:num>
  <w:num w:numId="9" w16cid:durableId="1859193979">
    <w:abstractNumId w:val="21"/>
  </w:num>
  <w:num w:numId="10" w16cid:durableId="475806003">
    <w:abstractNumId w:val="16"/>
  </w:num>
  <w:num w:numId="11" w16cid:durableId="1344627269">
    <w:abstractNumId w:val="31"/>
  </w:num>
  <w:num w:numId="12" w16cid:durableId="1997342141">
    <w:abstractNumId w:val="3"/>
  </w:num>
  <w:num w:numId="13" w16cid:durableId="1064839526">
    <w:abstractNumId w:val="30"/>
  </w:num>
  <w:num w:numId="14" w16cid:durableId="1921719888">
    <w:abstractNumId w:val="49"/>
  </w:num>
  <w:num w:numId="15" w16cid:durableId="1682663770">
    <w:abstractNumId w:val="14"/>
  </w:num>
  <w:num w:numId="16" w16cid:durableId="950212076">
    <w:abstractNumId w:val="43"/>
  </w:num>
  <w:num w:numId="17" w16cid:durableId="240598838">
    <w:abstractNumId w:val="45"/>
  </w:num>
  <w:num w:numId="18" w16cid:durableId="811869561">
    <w:abstractNumId w:val="20"/>
  </w:num>
  <w:num w:numId="19" w16cid:durableId="1935354540">
    <w:abstractNumId w:val="36"/>
  </w:num>
  <w:num w:numId="20" w16cid:durableId="792600446">
    <w:abstractNumId w:val="10"/>
  </w:num>
  <w:num w:numId="21" w16cid:durableId="1736008040">
    <w:abstractNumId w:val="17"/>
  </w:num>
  <w:num w:numId="22" w16cid:durableId="1697079340">
    <w:abstractNumId w:val="47"/>
  </w:num>
  <w:num w:numId="23" w16cid:durableId="1106274597">
    <w:abstractNumId w:val="35"/>
  </w:num>
  <w:num w:numId="24" w16cid:durableId="1513183222">
    <w:abstractNumId w:val="18"/>
  </w:num>
  <w:num w:numId="25" w16cid:durableId="115485349">
    <w:abstractNumId w:val="32"/>
  </w:num>
  <w:num w:numId="26" w16cid:durableId="821000641">
    <w:abstractNumId w:val="22"/>
  </w:num>
  <w:num w:numId="27" w16cid:durableId="318659762">
    <w:abstractNumId w:val="25"/>
  </w:num>
  <w:num w:numId="28" w16cid:durableId="2090811420">
    <w:abstractNumId w:val="46"/>
  </w:num>
  <w:num w:numId="29" w16cid:durableId="1412965962">
    <w:abstractNumId w:val="27"/>
  </w:num>
  <w:num w:numId="30" w16cid:durableId="1766346177">
    <w:abstractNumId w:val="1"/>
  </w:num>
  <w:num w:numId="31" w16cid:durableId="2001300884">
    <w:abstractNumId w:val="39"/>
  </w:num>
  <w:num w:numId="32" w16cid:durableId="1376390290">
    <w:abstractNumId w:val="23"/>
  </w:num>
  <w:num w:numId="33" w16cid:durableId="636228907">
    <w:abstractNumId w:val="26"/>
  </w:num>
  <w:num w:numId="34" w16cid:durableId="408039047">
    <w:abstractNumId w:val="12"/>
  </w:num>
  <w:num w:numId="35" w16cid:durableId="1949696486">
    <w:abstractNumId w:val="44"/>
  </w:num>
  <w:num w:numId="36" w16cid:durableId="1965843399">
    <w:abstractNumId w:val="28"/>
  </w:num>
  <w:num w:numId="37" w16cid:durableId="2131436776">
    <w:abstractNumId w:val="33"/>
  </w:num>
  <w:num w:numId="38" w16cid:durableId="1371105312">
    <w:abstractNumId w:val="8"/>
  </w:num>
  <w:num w:numId="39" w16cid:durableId="1751074997">
    <w:abstractNumId w:val="9"/>
  </w:num>
  <w:num w:numId="40" w16cid:durableId="1802962618">
    <w:abstractNumId w:val="11"/>
  </w:num>
  <w:num w:numId="41" w16cid:durableId="1393696205">
    <w:abstractNumId w:val="24"/>
  </w:num>
  <w:num w:numId="42" w16cid:durableId="1136491146">
    <w:abstractNumId w:val="40"/>
  </w:num>
  <w:num w:numId="43" w16cid:durableId="1250584255">
    <w:abstractNumId w:val="5"/>
  </w:num>
  <w:num w:numId="44" w16cid:durableId="887183656">
    <w:abstractNumId w:val="4"/>
  </w:num>
  <w:num w:numId="45" w16cid:durableId="1710913959">
    <w:abstractNumId w:val="42"/>
  </w:num>
  <w:num w:numId="46" w16cid:durableId="845284368">
    <w:abstractNumId w:val="15"/>
  </w:num>
  <w:num w:numId="47" w16cid:durableId="377626513">
    <w:abstractNumId w:val="19"/>
  </w:num>
  <w:num w:numId="48" w16cid:durableId="974602128">
    <w:abstractNumId w:val="38"/>
  </w:num>
  <w:num w:numId="49" w16cid:durableId="2008243906">
    <w:abstractNumId w:val="0"/>
  </w:num>
  <w:num w:numId="50" w16cid:durableId="161424176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5D"/>
    <w:rsid w:val="0000516E"/>
    <w:rsid w:val="000074B3"/>
    <w:rsid w:val="00011A69"/>
    <w:rsid w:val="000215D8"/>
    <w:rsid w:val="000271F9"/>
    <w:rsid w:val="000313EF"/>
    <w:rsid w:val="000434FF"/>
    <w:rsid w:val="0004562E"/>
    <w:rsid w:val="00045F28"/>
    <w:rsid w:val="00051F59"/>
    <w:rsid w:val="00063CE5"/>
    <w:rsid w:val="000650C2"/>
    <w:rsid w:val="000766E3"/>
    <w:rsid w:val="00077CF7"/>
    <w:rsid w:val="00084C4B"/>
    <w:rsid w:val="00086EC8"/>
    <w:rsid w:val="00090EE1"/>
    <w:rsid w:val="00097927"/>
    <w:rsid w:val="000A2419"/>
    <w:rsid w:val="000A36DE"/>
    <w:rsid w:val="000C2758"/>
    <w:rsid w:val="000C696B"/>
    <w:rsid w:val="000D2111"/>
    <w:rsid w:val="000D3792"/>
    <w:rsid w:val="000E47BA"/>
    <w:rsid w:val="000E5408"/>
    <w:rsid w:val="000E74E3"/>
    <w:rsid w:val="000F6552"/>
    <w:rsid w:val="00101100"/>
    <w:rsid w:val="001013F1"/>
    <w:rsid w:val="001039F2"/>
    <w:rsid w:val="00104665"/>
    <w:rsid w:val="0010565F"/>
    <w:rsid w:val="00117320"/>
    <w:rsid w:val="001206A9"/>
    <w:rsid w:val="00121470"/>
    <w:rsid w:val="00122EC5"/>
    <w:rsid w:val="00125EEE"/>
    <w:rsid w:val="001366D9"/>
    <w:rsid w:val="0013728D"/>
    <w:rsid w:val="00143DB8"/>
    <w:rsid w:val="00150E14"/>
    <w:rsid w:val="001575AC"/>
    <w:rsid w:val="00165F9F"/>
    <w:rsid w:val="00170C6B"/>
    <w:rsid w:val="00183277"/>
    <w:rsid w:val="001843F5"/>
    <w:rsid w:val="001917E7"/>
    <w:rsid w:val="00194482"/>
    <w:rsid w:val="001A426B"/>
    <w:rsid w:val="001A60B2"/>
    <w:rsid w:val="001C5D23"/>
    <w:rsid w:val="001D218D"/>
    <w:rsid w:val="001D4CAC"/>
    <w:rsid w:val="001E5AEB"/>
    <w:rsid w:val="001E7343"/>
    <w:rsid w:val="001F793A"/>
    <w:rsid w:val="00204B57"/>
    <w:rsid w:val="0020523E"/>
    <w:rsid w:val="00205751"/>
    <w:rsid w:val="00205CAA"/>
    <w:rsid w:val="00210976"/>
    <w:rsid w:val="00210A4F"/>
    <w:rsid w:val="00225111"/>
    <w:rsid w:val="00236E8D"/>
    <w:rsid w:val="002620DF"/>
    <w:rsid w:val="0026657B"/>
    <w:rsid w:val="002716EF"/>
    <w:rsid w:val="002807F3"/>
    <w:rsid w:val="002823FB"/>
    <w:rsid w:val="00282804"/>
    <w:rsid w:val="002843F0"/>
    <w:rsid w:val="00292F93"/>
    <w:rsid w:val="002A2471"/>
    <w:rsid w:val="002A29DD"/>
    <w:rsid w:val="002A34A7"/>
    <w:rsid w:val="002B32A5"/>
    <w:rsid w:val="002C527B"/>
    <w:rsid w:val="002D0FFD"/>
    <w:rsid w:val="002E089E"/>
    <w:rsid w:val="002E3697"/>
    <w:rsid w:val="002E5433"/>
    <w:rsid w:val="002F3221"/>
    <w:rsid w:val="002F595B"/>
    <w:rsid w:val="00322947"/>
    <w:rsid w:val="003262D2"/>
    <w:rsid w:val="00332034"/>
    <w:rsid w:val="00334CA1"/>
    <w:rsid w:val="00340174"/>
    <w:rsid w:val="00340CE0"/>
    <w:rsid w:val="0034699C"/>
    <w:rsid w:val="00353A85"/>
    <w:rsid w:val="003555C2"/>
    <w:rsid w:val="003557E3"/>
    <w:rsid w:val="003576C9"/>
    <w:rsid w:val="003624E8"/>
    <w:rsid w:val="00364E0F"/>
    <w:rsid w:val="00371371"/>
    <w:rsid w:val="00371DCB"/>
    <w:rsid w:val="00372CDB"/>
    <w:rsid w:val="003772DD"/>
    <w:rsid w:val="003812D0"/>
    <w:rsid w:val="003857CB"/>
    <w:rsid w:val="0038580A"/>
    <w:rsid w:val="00393D50"/>
    <w:rsid w:val="00394976"/>
    <w:rsid w:val="00396986"/>
    <w:rsid w:val="003A01DC"/>
    <w:rsid w:val="003A2117"/>
    <w:rsid w:val="003C15D4"/>
    <w:rsid w:val="003D08D7"/>
    <w:rsid w:val="003D2836"/>
    <w:rsid w:val="003D2BFB"/>
    <w:rsid w:val="003E115A"/>
    <w:rsid w:val="00411AB2"/>
    <w:rsid w:val="00412EF8"/>
    <w:rsid w:val="004145E2"/>
    <w:rsid w:val="0044164D"/>
    <w:rsid w:val="00443B79"/>
    <w:rsid w:val="0044403F"/>
    <w:rsid w:val="0046197F"/>
    <w:rsid w:val="004620D5"/>
    <w:rsid w:val="004733C0"/>
    <w:rsid w:val="004809B9"/>
    <w:rsid w:val="004829BF"/>
    <w:rsid w:val="00485382"/>
    <w:rsid w:val="00497B4B"/>
    <w:rsid w:val="004A34F2"/>
    <w:rsid w:val="004A4A82"/>
    <w:rsid w:val="004A665D"/>
    <w:rsid w:val="004B1932"/>
    <w:rsid w:val="004B2256"/>
    <w:rsid w:val="004B3940"/>
    <w:rsid w:val="004B6370"/>
    <w:rsid w:val="004C1384"/>
    <w:rsid w:val="004D2A79"/>
    <w:rsid w:val="004D2D4F"/>
    <w:rsid w:val="004D377A"/>
    <w:rsid w:val="004F36CC"/>
    <w:rsid w:val="004F5BA8"/>
    <w:rsid w:val="0050024A"/>
    <w:rsid w:val="00504387"/>
    <w:rsid w:val="005272AF"/>
    <w:rsid w:val="00536E76"/>
    <w:rsid w:val="00541A8D"/>
    <w:rsid w:val="00543021"/>
    <w:rsid w:val="005443A7"/>
    <w:rsid w:val="00544F50"/>
    <w:rsid w:val="00545F95"/>
    <w:rsid w:val="0055421D"/>
    <w:rsid w:val="00562458"/>
    <w:rsid w:val="00563649"/>
    <w:rsid w:val="005907C5"/>
    <w:rsid w:val="00595258"/>
    <w:rsid w:val="005967F4"/>
    <w:rsid w:val="005A4595"/>
    <w:rsid w:val="005B03EE"/>
    <w:rsid w:val="005B30D6"/>
    <w:rsid w:val="005B4945"/>
    <w:rsid w:val="005B68E8"/>
    <w:rsid w:val="005B70D8"/>
    <w:rsid w:val="005B79BF"/>
    <w:rsid w:val="005C3C41"/>
    <w:rsid w:val="005D267B"/>
    <w:rsid w:val="005D3D3A"/>
    <w:rsid w:val="005E0E08"/>
    <w:rsid w:val="005E3FB1"/>
    <w:rsid w:val="005E6324"/>
    <w:rsid w:val="005F2784"/>
    <w:rsid w:val="005F30F4"/>
    <w:rsid w:val="00604118"/>
    <w:rsid w:val="00604B7C"/>
    <w:rsid w:val="006108E2"/>
    <w:rsid w:val="00611E8A"/>
    <w:rsid w:val="00632003"/>
    <w:rsid w:val="00634376"/>
    <w:rsid w:val="00640547"/>
    <w:rsid w:val="006424E0"/>
    <w:rsid w:val="00645145"/>
    <w:rsid w:val="00664EE8"/>
    <w:rsid w:val="00680D49"/>
    <w:rsid w:val="0068126B"/>
    <w:rsid w:val="006869FC"/>
    <w:rsid w:val="00695400"/>
    <w:rsid w:val="006A42FA"/>
    <w:rsid w:val="006A4CCC"/>
    <w:rsid w:val="006A7992"/>
    <w:rsid w:val="006B482B"/>
    <w:rsid w:val="006B4C72"/>
    <w:rsid w:val="006C201C"/>
    <w:rsid w:val="006D36AB"/>
    <w:rsid w:val="006D3F65"/>
    <w:rsid w:val="006E03A8"/>
    <w:rsid w:val="006E59EA"/>
    <w:rsid w:val="006E6FB5"/>
    <w:rsid w:val="006F15DF"/>
    <w:rsid w:val="006F7110"/>
    <w:rsid w:val="00724BD4"/>
    <w:rsid w:val="00735A5D"/>
    <w:rsid w:val="007847B2"/>
    <w:rsid w:val="007B3BBC"/>
    <w:rsid w:val="007B76C2"/>
    <w:rsid w:val="007C59F2"/>
    <w:rsid w:val="007F4CB6"/>
    <w:rsid w:val="007F5811"/>
    <w:rsid w:val="008034EC"/>
    <w:rsid w:val="00827954"/>
    <w:rsid w:val="0083774D"/>
    <w:rsid w:val="00840148"/>
    <w:rsid w:val="00844926"/>
    <w:rsid w:val="00844B80"/>
    <w:rsid w:val="00852066"/>
    <w:rsid w:val="00853EF3"/>
    <w:rsid w:val="00857A3B"/>
    <w:rsid w:val="00867555"/>
    <w:rsid w:val="00870694"/>
    <w:rsid w:val="008729F7"/>
    <w:rsid w:val="00877842"/>
    <w:rsid w:val="00881E44"/>
    <w:rsid w:val="00886FD6"/>
    <w:rsid w:val="008871F2"/>
    <w:rsid w:val="008912BB"/>
    <w:rsid w:val="00895E7A"/>
    <w:rsid w:val="008A1E7E"/>
    <w:rsid w:val="008B1BC3"/>
    <w:rsid w:val="008B25AD"/>
    <w:rsid w:val="008B4160"/>
    <w:rsid w:val="008C234A"/>
    <w:rsid w:val="008D7DE3"/>
    <w:rsid w:val="008E1A50"/>
    <w:rsid w:val="008E3EC7"/>
    <w:rsid w:val="008F7261"/>
    <w:rsid w:val="00900132"/>
    <w:rsid w:val="00901651"/>
    <w:rsid w:val="009102B7"/>
    <w:rsid w:val="00912DC2"/>
    <w:rsid w:val="00913663"/>
    <w:rsid w:val="00934DD8"/>
    <w:rsid w:val="009413F9"/>
    <w:rsid w:val="0095487C"/>
    <w:rsid w:val="009554FA"/>
    <w:rsid w:val="009826D8"/>
    <w:rsid w:val="0099158C"/>
    <w:rsid w:val="009A3B03"/>
    <w:rsid w:val="009C3F0A"/>
    <w:rsid w:val="009D57C2"/>
    <w:rsid w:val="009D71CB"/>
    <w:rsid w:val="009D7B56"/>
    <w:rsid w:val="009E536A"/>
    <w:rsid w:val="009E53E6"/>
    <w:rsid w:val="009E66BB"/>
    <w:rsid w:val="009F0FCE"/>
    <w:rsid w:val="009F1DFE"/>
    <w:rsid w:val="009F276D"/>
    <w:rsid w:val="009F7044"/>
    <w:rsid w:val="00A00CDC"/>
    <w:rsid w:val="00A05011"/>
    <w:rsid w:val="00A11D6D"/>
    <w:rsid w:val="00A23E3A"/>
    <w:rsid w:val="00A26DBC"/>
    <w:rsid w:val="00A3065A"/>
    <w:rsid w:val="00A3670F"/>
    <w:rsid w:val="00A3672B"/>
    <w:rsid w:val="00A4291A"/>
    <w:rsid w:val="00A51710"/>
    <w:rsid w:val="00A6360B"/>
    <w:rsid w:val="00A6380A"/>
    <w:rsid w:val="00A638C1"/>
    <w:rsid w:val="00A708D2"/>
    <w:rsid w:val="00A76B96"/>
    <w:rsid w:val="00A9238E"/>
    <w:rsid w:val="00AA1B1F"/>
    <w:rsid w:val="00AB6EC4"/>
    <w:rsid w:val="00AB70B8"/>
    <w:rsid w:val="00AC05CC"/>
    <w:rsid w:val="00AC1CD3"/>
    <w:rsid w:val="00AC5EF5"/>
    <w:rsid w:val="00AD3AC5"/>
    <w:rsid w:val="00AE3B0E"/>
    <w:rsid w:val="00AF694C"/>
    <w:rsid w:val="00B04C3E"/>
    <w:rsid w:val="00B10A5E"/>
    <w:rsid w:val="00B30A5B"/>
    <w:rsid w:val="00B32225"/>
    <w:rsid w:val="00B3330C"/>
    <w:rsid w:val="00B33746"/>
    <w:rsid w:val="00B34AC6"/>
    <w:rsid w:val="00B42F45"/>
    <w:rsid w:val="00B54D72"/>
    <w:rsid w:val="00B64277"/>
    <w:rsid w:val="00B709E4"/>
    <w:rsid w:val="00B75BAA"/>
    <w:rsid w:val="00B76238"/>
    <w:rsid w:val="00B76FD5"/>
    <w:rsid w:val="00B9218C"/>
    <w:rsid w:val="00BA2373"/>
    <w:rsid w:val="00BA283E"/>
    <w:rsid w:val="00BA28BA"/>
    <w:rsid w:val="00BA3853"/>
    <w:rsid w:val="00BA4D7E"/>
    <w:rsid w:val="00BA6C27"/>
    <w:rsid w:val="00BB0B0C"/>
    <w:rsid w:val="00BB35AE"/>
    <w:rsid w:val="00BB5745"/>
    <w:rsid w:val="00BC1418"/>
    <w:rsid w:val="00BD29F5"/>
    <w:rsid w:val="00BD7D54"/>
    <w:rsid w:val="00BE1559"/>
    <w:rsid w:val="00BE5C33"/>
    <w:rsid w:val="00BE5E32"/>
    <w:rsid w:val="00BF44BD"/>
    <w:rsid w:val="00BF7A51"/>
    <w:rsid w:val="00C06C3C"/>
    <w:rsid w:val="00C327BA"/>
    <w:rsid w:val="00C366CB"/>
    <w:rsid w:val="00C4596D"/>
    <w:rsid w:val="00C46673"/>
    <w:rsid w:val="00C47C11"/>
    <w:rsid w:val="00C50E55"/>
    <w:rsid w:val="00C51ADD"/>
    <w:rsid w:val="00C52DD7"/>
    <w:rsid w:val="00C66888"/>
    <w:rsid w:val="00C66EB5"/>
    <w:rsid w:val="00C74724"/>
    <w:rsid w:val="00C77DD4"/>
    <w:rsid w:val="00C81462"/>
    <w:rsid w:val="00C83538"/>
    <w:rsid w:val="00C86520"/>
    <w:rsid w:val="00C95031"/>
    <w:rsid w:val="00CB4E0A"/>
    <w:rsid w:val="00CC41E8"/>
    <w:rsid w:val="00CC7FF8"/>
    <w:rsid w:val="00CE41AF"/>
    <w:rsid w:val="00CE5CBB"/>
    <w:rsid w:val="00CF4107"/>
    <w:rsid w:val="00CF4C4E"/>
    <w:rsid w:val="00CF59BF"/>
    <w:rsid w:val="00D0164D"/>
    <w:rsid w:val="00D03BD2"/>
    <w:rsid w:val="00D1215C"/>
    <w:rsid w:val="00D17110"/>
    <w:rsid w:val="00D1778C"/>
    <w:rsid w:val="00D22B4A"/>
    <w:rsid w:val="00D23137"/>
    <w:rsid w:val="00D246E3"/>
    <w:rsid w:val="00D33CF0"/>
    <w:rsid w:val="00D464A0"/>
    <w:rsid w:val="00D52376"/>
    <w:rsid w:val="00D54ECB"/>
    <w:rsid w:val="00D55187"/>
    <w:rsid w:val="00D72E5F"/>
    <w:rsid w:val="00D73E4F"/>
    <w:rsid w:val="00D75652"/>
    <w:rsid w:val="00D75908"/>
    <w:rsid w:val="00D77538"/>
    <w:rsid w:val="00D811B1"/>
    <w:rsid w:val="00D84C0F"/>
    <w:rsid w:val="00D90211"/>
    <w:rsid w:val="00D91BB4"/>
    <w:rsid w:val="00D91F1B"/>
    <w:rsid w:val="00DA1A03"/>
    <w:rsid w:val="00DA4884"/>
    <w:rsid w:val="00DA6A3C"/>
    <w:rsid w:val="00DB789B"/>
    <w:rsid w:val="00DC6D17"/>
    <w:rsid w:val="00DE10A1"/>
    <w:rsid w:val="00DE3E77"/>
    <w:rsid w:val="00DF3AC8"/>
    <w:rsid w:val="00E041BE"/>
    <w:rsid w:val="00E1298E"/>
    <w:rsid w:val="00E12ECD"/>
    <w:rsid w:val="00E151D7"/>
    <w:rsid w:val="00E27B5C"/>
    <w:rsid w:val="00E311EE"/>
    <w:rsid w:val="00E333E4"/>
    <w:rsid w:val="00E348D3"/>
    <w:rsid w:val="00E40FFC"/>
    <w:rsid w:val="00E5292A"/>
    <w:rsid w:val="00E56F7E"/>
    <w:rsid w:val="00E6247A"/>
    <w:rsid w:val="00E62F37"/>
    <w:rsid w:val="00E676D9"/>
    <w:rsid w:val="00E7370C"/>
    <w:rsid w:val="00E80E48"/>
    <w:rsid w:val="00E92501"/>
    <w:rsid w:val="00E94098"/>
    <w:rsid w:val="00E956BF"/>
    <w:rsid w:val="00EB4641"/>
    <w:rsid w:val="00EB4702"/>
    <w:rsid w:val="00EF1B00"/>
    <w:rsid w:val="00EF38A6"/>
    <w:rsid w:val="00EF3B18"/>
    <w:rsid w:val="00EF439B"/>
    <w:rsid w:val="00EF7DA1"/>
    <w:rsid w:val="00F10243"/>
    <w:rsid w:val="00F1305D"/>
    <w:rsid w:val="00F16F61"/>
    <w:rsid w:val="00F24042"/>
    <w:rsid w:val="00F25CC9"/>
    <w:rsid w:val="00F26F29"/>
    <w:rsid w:val="00F27C67"/>
    <w:rsid w:val="00F37B14"/>
    <w:rsid w:val="00F454EF"/>
    <w:rsid w:val="00F5705D"/>
    <w:rsid w:val="00F67400"/>
    <w:rsid w:val="00F75FC0"/>
    <w:rsid w:val="00FA0E5F"/>
    <w:rsid w:val="00FA0F3C"/>
    <w:rsid w:val="00FA1561"/>
    <w:rsid w:val="00FA71CB"/>
    <w:rsid w:val="00FB0F44"/>
    <w:rsid w:val="00FB14DC"/>
    <w:rsid w:val="00FB5840"/>
    <w:rsid w:val="00FC4860"/>
    <w:rsid w:val="00FC6950"/>
    <w:rsid w:val="00FD107C"/>
    <w:rsid w:val="00FD1E0A"/>
    <w:rsid w:val="00FD3353"/>
    <w:rsid w:val="00FD75D3"/>
    <w:rsid w:val="00FD77DC"/>
    <w:rsid w:val="00FE169D"/>
    <w:rsid w:val="00FE5036"/>
    <w:rsid w:val="00FF11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0C467"/>
  <w15:docId w15:val="{C14E38CA-0D44-4BBD-ADE4-8BA2072D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4F"/>
  </w:style>
  <w:style w:type="paragraph" w:styleId="Heading1">
    <w:name w:val="heading 1"/>
    <w:basedOn w:val="Normal"/>
    <w:next w:val="Normal"/>
    <w:link w:val="Heading1Char"/>
    <w:uiPriority w:val="9"/>
    <w:qFormat/>
    <w:rsid w:val="00E12ECD"/>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12ECD"/>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qFormat/>
    <w:rsid w:val="00DE3E77"/>
    <w:pPr>
      <w:keepNext/>
      <w:spacing w:before="120" w:after="120" w:line="240" w:lineRule="auto"/>
      <w:outlineLvl w:val="2"/>
    </w:pPr>
    <w:rPr>
      <w:rFonts w:ascii="Arial" w:eastAsia="Times New Roman"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CAC"/>
    <w:rPr>
      <w:color w:val="0000FF" w:themeColor="hyperlink"/>
      <w:u w:val="single"/>
    </w:rPr>
  </w:style>
  <w:style w:type="paragraph" w:styleId="Header">
    <w:name w:val="header"/>
    <w:basedOn w:val="Normal"/>
    <w:link w:val="HeaderChar"/>
    <w:uiPriority w:val="99"/>
    <w:unhideWhenUsed/>
    <w:rsid w:val="006E6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FB5"/>
  </w:style>
  <w:style w:type="paragraph" w:styleId="Footer">
    <w:name w:val="footer"/>
    <w:basedOn w:val="Normal"/>
    <w:link w:val="FooterChar"/>
    <w:uiPriority w:val="99"/>
    <w:unhideWhenUsed/>
    <w:rsid w:val="006E6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FB5"/>
  </w:style>
  <w:style w:type="paragraph" w:styleId="ListParagraph">
    <w:name w:val="List Paragraph"/>
    <w:basedOn w:val="Normal"/>
    <w:uiPriority w:val="34"/>
    <w:qFormat/>
    <w:rsid w:val="00E311EE"/>
    <w:pPr>
      <w:spacing w:after="0" w:line="240" w:lineRule="auto"/>
      <w:ind w:left="720"/>
    </w:pPr>
    <w:rPr>
      <w:rFonts w:ascii="Calibri" w:hAnsi="Calibri" w:cs="Times New Roman"/>
      <w:lang w:val="en-SG" w:eastAsia="en-SG"/>
    </w:rPr>
  </w:style>
  <w:style w:type="character" w:styleId="FollowedHyperlink">
    <w:name w:val="FollowedHyperlink"/>
    <w:basedOn w:val="DefaultParagraphFont"/>
    <w:uiPriority w:val="99"/>
    <w:semiHidden/>
    <w:unhideWhenUsed/>
    <w:rsid w:val="00E311EE"/>
    <w:rPr>
      <w:color w:val="800080" w:themeColor="followedHyperlink"/>
      <w:u w:val="single"/>
    </w:rPr>
  </w:style>
  <w:style w:type="paragraph" w:styleId="BodyText3">
    <w:name w:val="Body Text 3"/>
    <w:basedOn w:val="Normal"/>
    <w:link w:val="BodyText3Char"/>
    <w:semiHidden/>
    <w:rsid w:val="00DE3E77"/>
    <w:pPr>
      <w:spacing w:after="0" w:line="240" w:lineRule="auto"/>
    </w:pPr>
    <w:rPr>
      <w:rFonts w:ascii="Univers" w:eastAsia="Times New Roman" w:hAnsi="Univers" w:cs="Times"/>
      <w:sz w:val="20"/>
      <w:szCs w:val="20"/>
      <w:u w:val="single"/>
      <w:lang w:val="en-US"/>
    </w:rPr>
  </w:style>
  <w:style w:type="character" w:customStyle="1" w:styleId="BodyText3Char">
    <w:name w:val="Body Text 3 Char"/>
    <w:basedOn w:val="DefaultParagraphFont"/>
    <w:link w:val="BodyText3"/>
    <w:semiHidden/>
    <w:rsid w:val="00DE3E77"/>
    <w:rPr>
      <w:rFonts w:ascii="Univers" w:eastAsia="Times New Roman" w:hAnsi="Univers" w:cs="Times"/>
      <w:sz w:val="20"/>
      <w:szCs w:val="20"/>
      <w:u w:val="single"/>
      <w:lang w:val="en-US"/>
    </w:rPr>
  </w:style>
  <w:style w:type="paragraph" w:styleId="BodyTextIndent">
    <w:name w:val="Body Text Indent"/>
    <w:basedOn w:val="Normal"/>
    <w:link w:val="BodyTextIndentChar"/>
    <w:semiHidden/>
    <w:rsid w:val="00DE3E77"/>
    <w:pPr>
      <w:tabs>
        <w:tab w:val="left" w:pos="-720"/>
        <w:tab w:val="left" w:pos="0"/>
        <w:tab w:val="left" w:pos="720"/>
      </w:tabs>
      <w:suppressAutoHyphens/>
      <w:spacing w:after="0" w:line="380" w:lineRule="atLeast"/>
      <w:ind w:left="1440" w:hanging="1440"/>
      <w:jc w:val="both"/>
    </w:pPr>
    <w:rPr>
      <w:rFonts w:ascii="CG Times" w:eastAsia="Times New Roman" w:hAnsi="CG Times" w:cs="Times"/>
      <w:spacing w:val="-2"/>
      <w:szCs w:val="20"/>
    </w:rPr>
  </w:style>
  <w:style w:type="character" w:customStyle="1" w:styleId="BodyTextIndentChar">
    <w:name w:val="Body Text Indent Char"/>
    <w:basedOn w:val="DefaultParagraphFont"/>
    <w:link w:val="BodyTextIndent"/>
    <w:semiHidden/>
    <w:rsid w:val="00DE3E77"/>
    <w:rPr>
      <w:rFonts w:ascii="CG Times" w:eastAsia="Times New Roman" w:hAnsi="CG Times" w:cs="Times"/>
      <w:spacing w:val="-2"/>
      <w:szCs w:val="20"/>
    </w:rPr>
  </w:style>
  <w:style w:type="paragraph" w:styleId="BodyText2">
    <w:name w:val="Body Text 2"/>
    <w:basedOn w:val="Normal"/>
    <w:link w:val="BodyText2Char"/>
    <w:uiPriority w:val="99"/>
    <w:unhideWhenUsed/>
    <w:rsid w:val="00DE3E77"/>
    <w:pPr>
      <w:spacing w:after="120" w:line="480" w:lineRule="auto"/>
    </w:pPr>
  </w:style>
  <w:style w:type="character" w:customStyle="1" w:styleId="BodyText2Char">
    <w:name w:val="Body Text 2 Char"/>
    <w:basedOn w:val="DefaultParagraphFont"/>
    <w:link w:val="BodyText2"/>
    <w:uiPriority w:val="99"/>
    <w:rsid w:val="00DE3E77"/>
  </w:style>
  <w:style w:type="character" w:customStyle="1" w:styleId="Heading3Char">
    <w:name w:val="Heading 3 Char"/>
    <w:basedOn w:val="DefaultParagraphFont"/>
    <w:link w:val="Heading3"/>
    <w:rsid w:val="00DE3E77"/>
    <w:rPr>
      <w:rFonts w:ascii="Arial" w:eastAsia="Times New Roman" w:hAnsi="Arial" w:cs="Arial"/>
      <w:sz w:val="20"/>
      <w:szCs w:val="20"/>
      <w:u w:val="single"/>
    </w:rPr>
  </w:style>
  <w:style w:type="paragraph" w:styleId="BodyTextIndent2">
    <w:name w:val="Body Text Indent 2"/>
    <w:basedOn w:val="Normal"/>
    <w:link w:val="BodyTextIndent2Char"/>
    <w:uiPriority w:val="99"/>
    <w:unhideWhenUsed/>
    <w:rsid w:val="004145E2"/>
    <w:pPr>
      <w:spacing w:after="120" w:line="480" w:lineRule="auto"/>
      <w:ind w:left="283"/>
    </w:pPr>
  </w:style>
  <w:style w:type="character" w:customStyle="1" w:styleId="BodyTextIndent2Char">
    <w:name w:val="Body Text Indent 2 Char"/>
    <w:basedOn w:val="DefaultParagraphFont"/>
    <w:link w:val="BodyTextIndent2"/>
    <w:uiPriority w:val="99"/>
    <w:rsid w:val="004145E2"/>
  </w:style>
  <w:style w:type="character" w:customStyle="1" w:styleId="Heading1Char">
    <w:name w:val="Heading 1 Char"/>
    <w:basedOn w:val="DefaultParagraphFont"/>
    <w:link w:val="Heading1"/>
    <w:uiPriority w:val="9"/>
    <w:rsid w:val="00E12ECD"/>
    <w:rPr>
      <w:rFonts w:eastAsiaTheme="majorEastAsia" w:cstheme="majorBidi"/>
      <w:b/>
      <w:szCs w:val="32"/>
    </w:rPr>
  </w:style>
  <w:style w:type="paragraph" w:styleId="TOCHeading">
    <w:name w:val="TOC Heading"/>
    <w:basedOn w:val="Heading1"/>
    <w:next w:val="Normal"/>
    <w:uiPriority w:val="39"/>
    <w:unhideWhenUsed/>
    <w:qFormat/>
    <w:rsid w:val="00E12ECD"/>
    <w:pPr>
      <w:spacing w:line="259" w:lineRule="auto"/>
      <w:outlineLvl w:val="9"/>
    </w:pPr>
    <w:rPr>
      <w:lang w:val="en-US"/>
    </w:rPr>
  </w:style>
  <w:style w:type="character" w:customStyle="1" w:styleId="Heading2Char">
    <w:name w:val="Heading 2 Char"/>
    <w:basedOn w:val="DefaultParagraphFont"/>
    <w:link w:val="Heading2"/>
    <w:uiPriority w:val="9"/>
    <w:rsid w:val="00E12ECD"/>
    <w:rPr>
      <w:rFonts w:eastAsiaTheme="majorEastAsia" w:cstheme="majorBidi"/>
      <w:b/>
      <w:color w:val="000000" w:themeColor="text1"/>
      <w:szCs w:val="26"/>
    </w:rPr>
  </w:style>
  <w:style w:type="paragraph" w:styleId="TOC1">
    <w:name w:val="toc 1"/>
    <w:basedOn w:val="Normal"/>
    <w:next w:val="Normal"/>
    <w:autoRedefine/>
    <w:uiPriority w:val="39"/>
    <w:unhideWhenUsed/>
    <w:rsid w:val="00827954"/>
    <w:pPr>
      <w:tabs>
        <w:tab w:val="left" w:pos="440"/>
        <w:tab w:val="right" w:leader="dot" w:pos="9016"/>
      </w:tabs>
      <w:spacing w:after="100"/>
    </w:pPr>
    <w:rPr>
      <w:b/>
      <w:noProof/>
    </w:rPr>
  </w:style>
  <w:style w:type="paragraph" w:styleId="TOC2">
    <w:name w:val="toc 2"/>
    <w:basedOn w:val="Normal"/>
    <w:next w:val="Normal"/>
    <w:autoRedefine/>
    <w:uiPriority w:val="39"/>
    <w:unhideWhenUsed/>
    <w:rsid w:val="00E12ECD"/>
    <w:pPr>
      <w:spacing w:after="100"/>
      <w:ind w:left="220"/>
    </w:pPr>
  </w:style>
  <w:style w:type="character" w:styleId="CommentReference">
    <w:name w:val="annotation reference"/>
    <w:basedOn w:val="DefaultParagraphFont"/>
    <w:uiPriority w:val="99"/>
    <w:semiHidden/>
    <w:unhideWhenUsed/>
    <w:rsid w:val="00895E7A"/>
    <w:rPr>
      <w:sz w:val="16"/>
      <w:szCs w:val="16"/>
    </w:rPr>
  </w:style>
  <w:style w:type="paragraph" w:styleId="CommentText">
    <w:name w:val="annotation text"/>
    <w:basedOn w:val="Normal"/>
    <w:link w:val="CommentTextChar"/>
    <w:semiHidden/>
    <w:unhideWhenUsed/>
    <w:rsid w:val="00895E7A"/>
    <w:pPr>
      <w:spacing w:line="240" w:lineRule="auto"/>
    </w:pPr>
    <w:rPr>
      <w:sz w:val="20"/>
      <w:szCs w:val="20"/>
    </w:rPr>
  </w:style>
  <w:style w:type="character" w:customStyle="1" w:styleId="CommentTextChar">
    <w:name w:val="Comment Text Char"/>
    <w:basedOn w:val="DefaultParagraphFont"/>
    <w:link w:val="CommentText"/>
    <w:semiHidden/>
    <w:rsid w:val="00895E7A"/>
    <w:rPr>
      <w:sz w:val="20"/>
      <w:szCs w:val="20"/>
    </w:rPr>
  </w:style>
  <w:style w:type="paragraph" w:styleId="CommentSubject">
    <w:name w:val="annotation subject"/>
    <w:basedOn w:val="CommentText"/>
    <w:next w:val="CommentText"/>
    <w:link w:val="CommentSubjectChar"/>
    <w:uiPriority w:val="99"/>
    <w:semiHidden/>
    <w:unhideWhenUsed/>
    <w:rsid w:val="00895E7A"/>
    <w:rPr>
      <w:b/>
      <w:bCs/>
    </w:rPr>
  </w:style>
  <w:style w:type="character" w:customStyle="1" w:styleId="CommentSubjectChar">
    <w:name w:val="Comment Subject Char"/>
    <w:basedOn w:val="CommentTextChar"/>
    <w:link w:val="CommentSubject"/>
    <w:uiPriority w:val="99"/>
    <w:semiHidden/>
    <w:rsid w:val="00895E7A"/>
    <w:rPr>
      <w:b/>
      <w:bCs/>
      <w:sz w:val="20"/>
      <w:szCs w:val="20"/>
    </w:rPr>
  </w:style>
  <w:style w:type="paragraph" w:styleId="BalloonText">
    <w:name w:val="Balloon Text"/>
    <w:basedOn w:val="Normal"/>
    <w:link w:val="BalloonTextChar"/>
    <w:uiPriority w:val="99"/>
    <w:semiHidden/>
    <w:unhideWhenUsed/>
    <w:rsid w:val="00895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7A"/>
    <w:rPr>
      <w:rFonts w:ascii="Segoe UI" w:hAnsi="Segoe UI" w:cs="Segoe UI"/>
      <w:sz w:val="18"/>
      <w:szCs w:val="18"/>
    </w:rPr>
  </w:style>
  <w:style w:type="paragraph" w:styleId="DocumentMap">
    <w:name w:val="Document Map"/>
    <w:basedOn w:val="Normal"/>
    <w:link w:val="DocumentMapChar"/>
    <w:uiPriority w:val="99"/>
    <w:semiHidden/>
    <w:unhideWhenUsed/>
    <w:rsid w:val="0054302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43021"/>
    <w:rPr>
      <w:rFonts w:ascii="Times New Roman" w:hAnsi="Times New Roman" w:cs="Times New Roman"/>
      <w:sz w:val="24"/>
      <w:szCs w:val="24"/>
    </w:rPr>
  </w:style>
  <w:style w:type="paragraph" w:styleId="FootnoteText">
    <w:name w:val="footnote text"/>
    <w:basedOn w:val="Normal"/>
    <w:link w:val="FootnoteTextChar"/>
    <w:uiPriority w:val="99"/>
    <w:unhideWhenUsed/>
    <w:rsid w:val="00104665"/>
    <w:pPr>
      <w:spacing w:after="0" w:line="240" w:lineRule="auto"/>
    </w:pPr>
    <w:rPr>
      <w:sz w:val="24"/>
      <w:szCs w:val="24"/>
    </w:rPr>
  </w:style>
  <w:style w:type="character" w:customStyle="1" w:styleId="FootnoteTextChar">
    <w:name w:val="Footnote Text Char"/>
    <w:basedOn w:val="DefaultParagraphFont"/>
    <w:link w:val="FootnoteText"/>
    <w:uiPriority w:val="99"/>
    <w:rsid w:val="00104665"/>
    <w:rPr>
      <w:sz w:val="24"/>
      <w:szCs w:val="24"/>
    </w:rPr>
  </w:style>
  <w:style w:type="character" w:styleId="FootnoteReference">
    <w:name w:val="footnote reference"/>
    <w:basedOn w:val="DefaultParagraphFont"/>
    <w:uiPriority w:val="99"/>
    <w:unhideWhenUsed/>
    <w:rsid w:val="00104665"/>
    <w:rPr>
      <w:vertAlign w:val="superscript"/>
    </w:rPr>
  </w:style>
  <w:style w:type="paragraph" w:styleId="NormalWeb">
    <w:name w:val="Normal (Web)"/>
    <w:basedOn w:val="Normal"/>
    <w:uiPriority w:val="99"/>
    <w:semiHidden/>
    <w:unhideWhenUsed/>
    <w:rsid w:val="00332034"/>
    <w:pPr>
      <w:spacing w:before="100" w:beforeAutospacing="1" w:after="100" w:afterAutospacing="1" w:line="240" w:lineRule="auto"/>
    </w:pPr>
    <w:rPr>
      <w:rFonts w:ascii="Times New Roman" w:eastAsiaTheme="minorEastAsia"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20590">
      <w:bodyDiv w:val="1"/>
      <w:marLeft w:val="0"/>
      <w:marRight w:val="0"/>
      <w:marTop w:val="0"/>
      <w:marBottom w:val="0"/>
      <w:divBdr>
        <w:top w:val="none" w:sz="0" w:space="0" w:color="auto"/>
        <w:left w:val="none" w:sz="0" w:space="0" w:color="auto"/>
        <w:bottom w:val="none" w:sz="0" w:space="0" w:color="auto"/>
        <w:right w:val="none" w:sz="0" w:space="0" w:color="auto"/>
      </w:divBdr>
    </w:div>
    <w:div w:id="1267614579">
      <w:bodyDiv w:val="1"/>
      <w:marLeft w:val="0"/>
      <w:marRight w:val="0"/>
      <w:marTop w:val="0"/>
      <w:marBottom w:val="0"/>
      <w:divBdr>
        <w:top w:val="none" w:sz="0" w:space="0" w:color="auto"/>
        <w:left w:val="none" w:sz="0" w:space="0" w:color="auto"/>
        <w:bottom w:val="none" w:sz="0" w:space="0" w:color="auto"/>
        <w:right w:val="none" w:sz="0" w:space="0" w:color="auto"/>
      </w:divBdr>
      <w:divsChild>
        <w:div w:id="1080567617">
          <w:marLeft w:val="144"/>
          <w:marRight w:val="0"/>
          <w:marTop w:val="0"/>
          <w:marBottom w:val="0"/>
          <w:divBdr>
            <w:top w:val="none" w:sz="0" w:space="0" w:color="auto"/>
            <w:left w:val="none" w:sz="0" w:space="0" w:color="auto"/>
            <w:bottom w:val="none" w:sz="0" w:space="0" w:color="auto"/>
            <w:right w:val="none" w:sz="0" w:space="0" w:color="auto"/>
          </w:divBdr>
        </w:div>
        <w:div w:id="1996713750">
          <w:marLeft w:val="144"/>
          <w:marRight w:val="0"/>
          <w:marTop w:val="0"/>
          <w:marBottom w:val="0"/>
          <w:divBdr>
            <w:top w:val="none" w:sz="0" w:space="0" w:color="auto"/>
            <w:left w:val="none" w:sz="0" w:space="0" w:color="auto"/>
            <w:bottom w:val="none" w:sz="0" w:space="0" w:color="auto"/>
            <w:right w:val="none" w:sz="0" w:space="0" w:color="auto"/>
          </w:divBdr>
        </w:div>
      </w:divsChild>
    </w:div>
    <w:div w:id="21165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_top"/></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9542-1C73-4B70-B5C2-54288649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Alden</dc:creator>
  <cp:lastModifiedBy>Samuel Godefroy</cp:lastModifiedBy>
  <cp:revision>36</cp:revision>
  <cp:lastPrinted>2018-05-24T13:59:00Z</cp:lastPrinted>
  <dcterms:created xsi:type="dcterms:W3CDTF">2021-06-23T13:29:00Z</dcterms:created>
  <dcterms:modified xsi:type="dcterms:W3CDTF">2022-08-13T21:31:00Z</dcterms:modified>
</cp:coreProperties>
</file>